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18E3" w14:textId="77777777" w:rsidR="00530ABC" w:rsidRDefault="00530ABC" w:rsidP="00530A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DFA">
        <w:rPr>
          <w:rFonts w:ascii="Times New Roman" w:hAnsi="Times New Roman" w:cs="Times New Roman"/>
          <w:sz w:val="24"/>
          <w:szCs w:val="24"/>
        </w:rPr>
        <w:t>EELNÕU</w:t>
      </w:r>
    </w:p>
    <w:p w14:paraId="0ABA714B" w14:textId="6EFD2DE1" w:rsidR="00530ABC" w:rsidRPr="00EB0DFA" w:rsidRDefault="003720D1" w:rsidP="00530A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30ABC" w:rsidRPr="00EB0DFA">
        <w:rPr>
          <w:rFonts w:ascii="Times New Roman" w:hAnsi="Times New Roman" w:cs="Times New Roman"/>
          <w:sz w:val="24"/>
          <w:szCs w:val="24"/>
        </w:rPr>
        <w:t>.</w:t>
      </w:r>
      <w:r w:rsidR="00530ABC">
        <w:rPr>
          <w:rFonts w:ascii="Times New Roman" w:hAnsi="Times New Roman" w:cs="Times New Roman"/>
          <w:sz w:val="24"/>
          <w:szCs w:val="24"/>
        </w:rPr>
        <w:t>05</w:t>
      </w:r>
      <w:r w:rsidR="00530ABC" w:rsidRPr="00EB0DFA">
        <w:rPr>
          <w:rFonts w:ascii="Times New Roman" w:hAnsi="Times New Roman" w:cs="Times New Roman"/>
          <w:sz w:val="24"/>
          <w:szCs w:val="24"/>
        </w:rPr>
        <w:t>.2024</w:t>
      </w:r>
    </w:p>
    <w:p w14:paraId="55C12215" w14:textId="77777777" w:rsidR="00EA5A74" w:rsidRDefault="00EA5A74" w:rsidP="004917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DF12C0" w14:textId="16327DE2" w:rsidR="00EA5A74" w:rsidRDefault="00EA5A74" w:rsidP="0049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8240" behindDoc="0" locked="0" layoutInCell="1" allowOverlap="1" wp14:anchorId="2A141002" wp14:editId="5EB6EC73">
            <wp:simplePos x="0" y="0"/>
            <wp:positionH relativeFrom="page">
              <wp:posOffset>899795</wp:posOffset>
            </wp:positionH>
            <wp:positionV relativeFrom="page">
              <wp:posOffset>1162050</wp:posOffset>
            </wp:positionV>
            <wp:extent cx="2880000" cy="936000"/>
            <wp:effectExtent l="0" t="0" r="0" b="0"/>
            <wp:wrapNone/>
            <wp:docPr id="1" name="Pilt 1" descr="Pilt, millel on kujutatud tekst, Font, visand, Graafik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tekst, Font, visand, Graafika&#10;&#10;Kirjeldus on genereeritud automaatsel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25A7B" w14:textId="77777777" w:rsidR="00EA5A74" w:rsidRDefault="00EA5A74" w:rsidP="004917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226B9F" w14:textId="77777777" w:rsidR="0017051A" w:rsidRDefault="0017051A" w:rsidP="004917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E7FB9C" w14:textId="77777777" w:rsidR="0017051A" w:rsidRDefault="0017051A" w:rsidP="004917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B65F56" w14:textId="77777777" w:rsidR="00EA5A74" w:rsidRDefault="00EA5A74" w:rsidP="004917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B10172" w14:textId="77777777" w:rsidR="00EA5A74" w:rsidRDefault="00EA5A74" w:rsidP="004917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DB2BBF" w14:textId="77777777" w:rsidR="002F4A83" w:rsidRDefault="002F4A83" w:rsidP="0049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57B5B" w14:textId="7DB3D40E" w:rsidR="004A53F5" w:rsidRDefault="008B4621" w:rsidP="0049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DFA">
        <w:rPr>
          <w:rFonts w:ascii="Times New Roman" w:hAnsi="Times New Roman" w:cs="Times New Roman"/>
          <w:sz w:val="24"/>
          <w:szCs w:val="24"/>
        </w:rPr>
        <w:t>KÄSKKIR</w:t>
      </w:r>
      <w:r w:rsidR="004A53F5">
        <w:rPr>
          <w:rFonts w:ascii="Times New Roman" w:hAnsi="Times New Roman" w:cs="Times New Roman"/>
          <w:sz w:val="24"/>
          <w:szCs w:val="24"/>
        </w:rPr>
        <w:t>I</w:t>
      </w:r>
    </w:p>
    <w:p w14:paraId="0CE49EB7" w14:textId="77777777" w:rsidR="00EB0DFA" w:rsidRPr="00EB0DFA" w:rsidRDefault="00EB0DFA" w:rsidP="0049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B9327" w14:textId="3E351A53" w:rsidR="00EB0DFA" w:rsidRPr="00EB0DFA" w:rsidRDefault="006C2F8B" w:rsidP="008262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F8B">
        <w:rPr>
          <w:rFonts w:ascii="Times New Roman" w:hAnsi="Times New Roman" w:cs="Times New Roman"/>
          <w:b/>
          <w:bCs/>
          <w:sz w:val="24"/>
          <w:szCs w:val="24"/>
        </w:rPr>
        <w:t xml:space="preserve">Ettevõtlus- ja infotehnoloogiaministri </w:t>
      </w:r>
      <w:r w:rsidR="006D3B56">
        <w:rPr>
          <w:rFonts w:ascii="Times New Roman" w:hAnsi="Times New Roman" w:cs="Times New Roman"/>
          <w:b/>
          <w:bCs/>
          <w:sz w:val="24"/>
          <w:szCs w:val="24"/>
        </w:rPr>
        <w:t xml:space="preserve">10. veebruari 2023. a </w:t>
      </w:r>
      <w:r w:rsidRPr="006C2F8B">
        <w:rPr>
          <w:rFonts w:ascii="Times New Roman" w:hAnsi="Times New Roman" w:cs="Times New Roman"/>
          <w:b/>
          <w:bCs/>
          <w:sz w:val="24"/>
          <w:szCs w:val="24"/>
        </w:rPr>
        <w:t xml:space="preserve">käskkirja </w:t>
      </w:r>
      <w:r w:rsidR="006D3B56">
        <w:rPr>
          <w:rFonts w:ascii="Times New Roman" w:hAnsi="Times New Roman" w:cs="Times New Roman"/>
          <w:b/>
          <w:bCs/>
          <w:sz w:val="24"/>
          <w:szCs w:val="24"/>
        </w:rPr>
        <w:t>nr 26 „</w:t>
      </w:r>
      <w:r w:rsidR="006D3B56" w:rsidRPr="006D3B56">
        <w:rPr>
          <w:rFonts w:ascii="Times New Roman" w:hAnsi="Times New Roman" w:cs="Times New Roman"/>
          <w:b/>
          <w:bCs/>
          <w:sz w:val="24"/>
          <w:szCs w:val="24"/>
        </w:rPr>
        <w:t>Toetuse andmise tingimused ettevõtlus ja innovatsiooniteadlikkuse kasvatamiseks</w:t>
      </w:r>
      <w:r w:rsidR="006D3B5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D3B56" w:rsidRPr="006D3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2F8B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257F56B1" w14:textId="77777777" w:rsidR="00EB0DFA" w:rsidRDefault="00EB0DFA" w:rsidP="00EA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D13FA" w14:textId="5232A6B8" w:rsidR="008A5613" w:rsidRDefault="002B45C5" w:rsidP="00FE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91C1C" w:rsidRPr="00491C1C">
        <w:rPr>
          <w:rFonts w:ascii="Times New Roman" w:hAnsi="Times New Roman" w:cs="Times New Roman"/>
          <w:sz w:val="24"/>
          <w:szCs w:val="24"/>
        </w:rPr>
        <w:t xml:space="preserve">erioodi 2021–2027 Euroopa Liidu ühtekuuluvus- ja </w:t>
      </w:r>
      <w:proofErr w:type="spellStart"/>
      <w:r w:rsidR="00491C1C" w:rsidRPr="00491C1C">
        <w:rPr>
          <w:rFonts w:ascii="Times New Roman" w:hAnsi="Times New Roman" w:cs="Times New Roman"/>
          <w:sz w:val="24"/>
          <w:szCs w:val="24"/>
        </w:rPr>
        <w:t>siseturvalisuspoliitika</w:t>
      </w:r>
      <w:proofErr w:type="spellEnd"/>
      <w:r w:rsidR="00491C1C" w:rsidRPr="00491C1C">
        <w:rPr>
          <w:rFonts w:ascii="Times New Roman" w:hAnsi="Times New Roman" w:cs="Times New Roman"/>
          <w:sz w:val="24"/>
          <w:szCs w:val="24"/>
        </w:rPr>
        <w:t xml:space="preserve"> fondide rakendamise seaduse</w:t>
      </w:r>
      <w:r w:rsidR="00491C1C">
        <w:rPr>
          <w:rFonts w:ascii="Times New Roman" w:hAnsi="Times New Roman" w:cs="Times New Roman"/>
          <w:sz w:val="24"/>
          <w:szCs w:val="24"/>
        </w:rPr>
        <w:t xml:space="preserve"> </w:t>
      </w:r>
      <w:r w:rsidR="00EB0DFA" w:rsidRPr="00EB0DFA">
        <w:rPr>
          <w:rFonts w:ascii="Times New Roman" w:hAnsi="Times New Roman" w:cs="Times New Roman"/>
          <w:sz w:val="24"/>
          <w:szCs w:val="24"/>
        </w:rPr>
        <w:t>§ 10 lõigete 2 ja 4 alusel</w:t>
      </w:r>
      <w:r w:rsidR="00ED6562">
        <w:rPr>
          <w:rFonts w:ascii="Times New Roman" w:hAnsi="Times New Roman" w:cs="Times New Roman"/>
          <w:sz w:val="24"/>
          <w:szCs w:val="24"/>
        </w:rPr>
        <w:t xml:space="preserve"> </w:t>
      </w:r>
      <w:r w:rsidR="001C35BD">
        <w:rPr>
          <w:rFonts w:ascii="Times New Roman" w:hAnsi="Times New Roman" w:cs="Times New Roman"/>
          <w:sz w:val="24"/>
          <w:szCs w:val="24"/>
        </w:rPr>
        <w:t>teen</w:t>
      </w:r>
      <w:r w:rsidR="00B50691" w:rsidRPr="00B51236">
        <w:rPr>
          <w:rFonts w:ascii="Times New Roman" w:hAnsi="Times New Roman" w:cs="Times New Roman"/>
          <w:sz w:val="24"/>
          <w:szCs w:val="24"/>
        </w:rPr>
        <w:t xml:space="preserve"> </w:t>
      </w:r>
      <w:r w:rsidR="00792BDD" w:rsidRPr="00792BDD">
        <w:rPr>
          <w:rFonts w:ascii="Times New Roman" w:hAnsi="Times New Roman" w:cs="Times New Roman"/>
          <w:sz w:val="24"/>
          <w:szCs w:val="24"/>
        </w:rPr>
        <w:t xml:space="preserve">ettevõtlus- ja infotehnoloogiaministri </w:t>
      </w:r>
      <w:r w:rsidR="00376D88">
        <w:rPr>
          <w:rFonts w:ascii="Times New Roman" w:hAnsi="Times New Roman" w:cs="Times New Roman"/>
          <w:sz w:val="24"/>
          <w:szCs w:val="24"/>
        </w:rPr>
        <w:t>10</w:t>
      </w:r>
      <w:r w:rsidR="00B50691" w:rsidRPr="00CF3C59">
        <w:rPr>
          <w:rFonts w:ascii="Times New Roman" w:hAnsi="Times New Roman" w:cs="Times New Roman"/>
          <w:sz w:val="24"/>
          <w:szCs w:val="24"/>
        </w:rPr>
        <w:t>.</w:t>
      </w:r>
      <w:r w:rsidR="00364113">
        <w:rPr>
          <w:rFonts w:ascii="Times New Roman" w:hAnsi="Times New Roman" w:cs="Times New Roman"/>
          <w:sz w:val="24"/>
          <w:szCs w:val="24"/>
        </w:rPr>
        <w:t> </w:t>
      </w:r>
      <w:r w:rsidR="00376D88">
        <w:rPr>
          <w:rFonts w:ascii="Times New Roman" w:hAnsi="Times New Roman" w:cs="Times New Roman"/>
          <w:sz w:val="24"/>
          <w:szCs w:val="24"/>
        </w:rPr>
        <w:t xml:space="preserve">veebruari </w:t>
      </w:r>
      <w:r w:rsidR="00B50691" w:rsidRPr="00CF3C59">
        <w:rPr>
          <w:rFonts w:ascii="Times New Roman" w:hAnsi="Times New Roman" w:cs="Times New Roman"/>
          <w:sz w:val="24"/>
          <w:szCs w:val="24"/>
        </w:rPr>
        <w:t>20</w:t>
      </w:r>
      <w:r w:rsidR="00376D88">
        <w:rPr>
          <w:rFonts w:ascii="Times New Roman" w:hAnsi="Times New Roman" w:cs="Times New Roman"/>
          <w:sz w:val="24"/>
          <w:szCs w:val="24"/>
        </w:rPr>
        <w:t>23</w:t>
      </w:r>
      <w:r w:rsidR="00B50691" w:rsidRPr="00CF3C59">
        <w:rPr>
          <w:rFonts w:ascii="Times New Roman" w:hAnsi="Times New Roman" w:cs="Times New Roman"/>
          <w:sz w:val="24"/>
          <w:szCs w:val="24"/>
        </w:rPr>
        <w:t xml:space="preserve">. a käskkirja nr </w:t>
      </w:r>
      <w:r w:rsidR="00FE07F3">
        <w:rPr>
          <w:rFonts w:ascii="Times New Roman" w:hAnsi="Times New Roman" w:cs="Times New Roman"/>
          <w:sz w:val="24"/>
          <w:szCs w:val="24"/>
        </w:rPr>
        <w:t>26</w:t>
      </w:r>
      <w:r w:rsidR="00B50691" w:rsidRPr="00CF3C59">
        <w:rPr>
          <w:rFonts w:ascii="Times New Roman" w:hAnsi="Times New Roman" w:cs="Times New Roman"/>
          <w:sz w:val="24"/>
          <w:szCs w:val="24"/>
        </w:rPr>
        <w:t xml:space="preserve"> „</w:t>
      </w:r>
      <w:r w:rsidR="00FE07F3" w:rsidRPr="00FE07F3">
        <w:rPr>
          <w:rFonts w:ascii="Times New Roman" w:hAnsi="Times New Roman" w:cs="Times New Roman"/>
          <w:sz w:val="24"/>
          <w:szCs w:val="24"/>
        </w:rPr>
        <w:t>Toetuse andmise tingimused ettevõtlus</w:t>
      </w:r>
      <w:r w:rsidR="00FE07F3">
        <w:rPr>
          <w:rFonts w:ascii="Times New Roman" w:hAnsi="Times New Roman" w:cs="Times New Roman"/>
          <w:sz w:val="24"/>
          <w:szCs w:val="24"/>
        </w:rPr>
        <w:t xml:space="preserve"> </w:t>
      </w:r>
      <w:r w:rsidR="00FE07F3" w:rsidRPr="00FE07F3">
        <w:rPr>
          <w:rFonts w:ascii="Times New Roman" w:hAnsi="Times New Roman" w:cs="Times New Roman"/>
          <w:sz w:val="24"/>
          <w:szCs w:val="24"/>
        </w:rPr>
        <w:t>ja</w:t>
      </w:r>
      <w:r w:rsidR="00FE07F3">
        <w:rPr>
          <w:rFonts w:ascii="Times New Roman" w:hAnsi="Times New Roman" w:cs="Times New Roman"/>
          <w:sz w:val="24"/>
          <w:szCs w:val="24"/>
        </w:rPr>
        <w:t xml:space="preserve"> </w:t>
      </w:r>
      <w:r w:rsidR="00FE07F3" w:rsidRPr="00FE07F3">
        <w:rPr>
          <w:rFonts w:ascii="Times New Roman" w:hAnsi="Times New Roman" w:cs="Times New Roman"/>
          <w:sz w:val="24"/>
          <w:szCs w:val="24"/>
        </w:rPr>
        <w:t>innovatsiooniteadlikkuse kasvatamiseks</w:t>
      </w:r>
      <w:r w:rsidR="00B50691" w:rsidRPr="00CF3C59">
        <w:rPr>
          <w:rFonts w:ascii="Times New Roman" w:hAnsi="Times New Roman" w:cs="Times New Roman"/>
          <w:sz w:val="24"/>
          <w:szCs w:val="24"/>
        </w:rPr>
        <w:t>“</w:t>
      </w:r>
      <w:r w:rsidR="00B50691">
        <w:rPr>
          <w:rFonts w:ascii="Times New Roman" w:hAnsi="Times New Roman" w:cs="Times New Roman"/>
          <w:sz w:val="24"/>
          <w:szCs w:val="24"/>
        </w:rPr>
        <w:t xml:space="preserve"> </w:t>
      </w:r>
      <w:r w:rsidR="00F20710">
        <w:rPr>
          <w:rFonts w:ascii="Times New Roman" w:hAnsi="Times New Roman" w:cs="Times New Roman"/>
          <w:sz w:val="24"/>
          <w:szCs w:val="24"/>
        </w:rPr>
        <w:t xml:space="preserve">(muudetud </w:t>
      </w:r>
      <w:r w:rsidR="00E17FA1">
        <w:rPr>
          <w:rFonts w:ascii="Times New Roman" w:hAnsi="Times New Roman" w:cs="Times New Roman"/>
          <w:sz w:val="24"/>
          <w:szCs w:val="24"/>
        </w:rPr>
        <w:t>30.06.2023 käskkirjaga nr 126</w:t>
      </w:r>
      <w:r w:rsidR="00BB40C4">
        <w:rPr>
          <w:rFonts w:ascii="Times New Roman" w:hAnsi="Times New Roman" w:cs="Times New Roman"/>
          <w:sz w:val="24"/>
          <w:szCs w:val="24"/>
        </w:rPr>
        <w:t xml:space="preserve">, </w:t>
      </w:r>
      <w:r w:rsidR="00BB40C4" w:rsidRPr="00BB40C4">
        <w:rPr>
          <w:rFonts w:ascii="Times New Roman" w:hAnsi="Times New Roman" w:cs="Times New Roman"/>
          <w:sz w:val="24"/>
          <w:szCs w:val="24"/>
        </w:rPr>
        <w:t xml:space="preserve">21.01.2024 </w:t>
      </w:r>
      <w:r w:rsidR="00287B11">
        <w:rPr>
          <w:rFonts w:ascii="Times New Roman" w:hAnsi="Times New Roman" w:cs="Times New Roman"/>
          <w:sz w:val="24"/>
          <w:szCs w:val="24"/>
        </w:rPr>
        <w:t xml:space="preserve">käskkirjaga </w:t>
      </w:r>
      <w:r w:rsidR="00BB40C4" w:rsidRPr="00BB40C4">
        <w:rPr>
          <w:rFonts w:ascii="Times New Roman" w:hAnsi="Times New Roman" w:cs="Times New Roman"/>
          <w:sz w:val="24"/>
          <w:szCs w:val="24"/>
        </w:rPr>
        <w:t>nr 8</w:t>
      </w:r>
      <w:r w:rsidR="00E17FA1">
        <w:rPr>
          <w:rFonts w:ascii="Times New Roman" w:hAnsi="Times New Roman" w:cs="Times New Roman"/>
          <w:sz w:val="24"/>
          <w:szCs w:val="24"/>
        </w:rPr>
        <w:t xml:space="preserve">) </w:t>
      </w:r>
      <w:r w:rsidR="003A123A">
        <w:rPr>
          <w:rFonts w:ascii="Times New Roman" w:hAnsi="Times New Roman" w:cs="Times New Roman"/>
          <w:sz w:val="24"/>
          <w:szCs w:val="24"/>
        </w:rPr>
        <w:t>järgmis</w:t>
      </w:r>
      <w:r w:rsidR="001C35BD">
        <w:rPr>
          <w:rFonts w:ascii="Times New Roman" w:hAnsi="Times New Roman" w:cs="Times New Roman"/>
          <w:sz w:val="24"/>
          <w:szCs w:val="24"/>
        </w:rPr>
        <w:t>ed muudatused</w:t>
      </w:r>
      <w:r w:rsidR="003A123A">
        <w:rPr>
          <w:rFonts w:ascii="Times New Roman" w:hAnsi="Times New Roman" w:cs="Times New Roman"/>
          <w:sz w:val="24"/>
          <w:szCs w:val="24"/>
        </w:rPr>
        <w:t>:</w:t>
      </w:r>
    </w:p>
    <w:p w14:paraId="6584DDC6" w14:textId="77777777" w:rsidR="003A123A" w:rsidRDefault="003A123A" w:rsidP="00FE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FF995" w14:textId="2AC2ABDF" w:rsidR="003F5618" w:rsidRPr="00EC31BB" w:rsidRDefault="003A123A" w:rsidP="00FE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1BB">
        <w:rPr>
          <w:rFonts w:ascii="Times New Roman" w:hAnsi="Times New Roman" w:cs="Times New Roman"/>
          <w:sz w:val="24"/>
          <w:szCs w:val="24"/>
        </w:rPr>
        <w:t>1</w:t>
      </w:r>
      <w:r w:rsidR="002E7C0F" w:rsidRPr="00EC31BB">
        <w:rPr>
          <w:rFonts w:ascii="Times New Roman" w:hAnsi="Times New Roman" w:cs="Times New Roman"/>
          <w:sz w:val="24"/>
          <w:szCs w:val="24"/>
        </w:rPr>
        <w:t>)</w:t>
      </w:r>
      <w:r w:rsidRPr="00EC31BB">
        <w:rPr>
          <w:rFonts w:ascii="Times New Roman" w:hAnsi="Times New Roman" w:cs="Times New Roman"/>
          <w:sz w:val="24"/>
          <w:szCs w:val="24"/>
        </w:rPr>
        <w:t xml:space="preserve"> </w:t>
      </w:r>
      <w:r w:rsidR="003F5618" w:rsidRPr="00EC31BB">
        <w:rPr>
          <w:rFonts w:ascii="Times New Roman" w:hAnsi="Times New Roman" w:cs="Times New Roman"/>
          <w:sz w:val="24"/>
          <w:szCs w:val="24"/>
        </w:rPr>
        <w:t>sõnastan käskkirja punkti 3 järgmiselt:</w:t>
      </w:r>
    </w:p>
    <w:p w14:paraId="1C6BCC02" w14:textId="382B81EA" w:rsidR="00C75FE5" w:rsidRDefault="003F5618" w:rsidP="009B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1BB">
        <w:rPr>
          <w:rFonts w:ascii="Times New Roman" w:hAnsi="Times New Roman" w:cs="Times New Roman"/>
          <w:sz w:val="24"/>
          <w:szCs w:val="24"/>
        </w:rPr>
        <w:t>„</w:t>
      </w:r>
      <w:r w:rsidR="0075202E" w:rsidRPr="006524B4">
        <w:rPr>
          <w:rFonts w:ascii="Times New Roman" w:hAnsi="Times New Roman" w:cs="Times New Roman"/>
          <w:b/>
          <w:sz w:val="24"/>
          <w:szCs w:val="24"/>
        </w:rPr>
        <w:t>3.</w:t>
      </w:r>
      <w:r w:rsidR="0075202E">
        <w:rPr>
          <w:rFonts w:ascii="Times New Roman" w:hAnsi="Times New Roman" w:cs="Times New Roman"/>
          <w:sz w:val="24"/>
          <w:szCs w:val="24"/>
        </w:rPr>
        <w:t xml:space="preserve"> </w:t>
      </w:r>
      <w:r w:rsidR="00C75FE5" w:rsidRPr="00CD754C">
        <w:rPr>
          <w:rFonts w:ascii="Times New Roman" w:hAnsi="Times New Roman" w:cs="Times New Roman"/>
          <w:b/>
          <w:sz w:val="24"/>
          <w:szCs w:val="24"/>
        </w:rPr>
        <w:t>Tulemus ja näitajad</w:t>
      </w:r>
    </w:p>
    <w:p w14:paraId="467144DA" w14:textId="77777777" w:rsidR="00AE4781" w:rsidRDefault="00AE4781" w:rsidP="009B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774ED" w14:textId="19D9FB03" w:rsidR="0068357E" w:rsidRDefault="0068357E" w:rsidP="0068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E">
        <w:rPr>
          <w:rFonts w:ascii="Times New Roman" w:hAnsi="Times New Roman" w:cs="Times New Roman"/>
          <w:sz w:val="24"/>
          <w:szCs w:val="24"/>
        </w:rPr>
        <w:t>T</w:t>
      </w:r>
      <w:r w:rsidR="00AC3C55">
        <w:rPr>
          <w:rFonts w:ascii="Times New Roman" w:hAnsi="Times New Roman" w:cs="Times New Roman"/>
          <w:sz w:val="24"/>
          <w:szCs w:val="24"/>
        </w:rPr>
        <w:t>egevuste</w:t>
      </w:r>
      <w:r w:rsidRPr="0068357E">
        <w:rPr>
          <w:rFonts w:ascii="Times New Roman" w:hAnsi="Times New Roman" w:cs="Times New Roman"/>
          <w:sz w:val="24"/>
          <w:szCs w:val="24"/>
        </w:rPr>
        <w:t xml:space="preserve"> tulemusel lisandub ettevõtjaid, kellel</w:t>
      </w:r>
      <w:r w:rsidR="00892DEB">
        <w:rPr>
          <w:rFonts w:ascii="Times New Roman" w:hAnsi="Times New Roman" w:cs="Times New Roman"/>
          <w:sz w:val="24"/>
          <w:szCs w:val="24"/>
        </w:rPr>
        <w:t xml:space="preserve"> kasvab</w:t>
      </w:r>
      <w:r w:rsidRPr="0068357E">
        <w:rPr>
          <w:rFonts w:ascii="Times New Roman" w:hAnsi="Times New Roman" w:cs="Times New Roman"/>
          <w:sz w:val="24"/>
          <w:szCs w:val="24"/>
        </w:rPr>
        <w:t xml:space="preserve"> kompetentside tõusu ja inimressursi kättesaadavuse tõusu tõttu võimekus läbi viia </w:t>
      </w:r>
      <w:proofErr w:type="spellStart"/>
      <w:r w:rsidRPr="0068357E">
        <w:rPr>
          <w:rFonts w:ascii="Times New Roman" w:hAnsi="Times New Roman" w:cs="Times New Roman"/>
          <w:sz w:val="24"/>
          <w:szCs w:val="24"/>
        </w:rPr>
        <w:t>TAI-l</w:t>
      </w:r>
      <w:proofErr w:type="spellEnd"/>
      <w:r w:rsidRPr="0068357E">
        <w:rPr>
          <w:rFonts w:ascii="Times New Roman" w:hAnsi="Times New Roman" w:cs="Times New Roman"/>
          <w:sz w:val="24"/>
          <w:szCs w:val="24"/>
        </w:rPr>
        <w:t xml:space="preserve"> põhinevaid arendustegevusi</w:t>
      </w:r>
      <w:r w:rsidR="00FF4D89">
        <w:rPr>
          <w:rFonts w:ascii="Times New Roman" w:hAnsi="Times New Roman" w:cs="Times New Roman"/>
          <w:sz w:val="24"/>
          <w:szCs w:val="24"/>
        </w:rPr>
        <w:t>, mis on omakorda</w:t>
      </w:r>
      <w:r w:rsidRPr="0068357E">
        <w:rPr>
          <w:rFonts w:ascii="Times New Roman" w:hAnsi="Times New Roman" w:cs="Times New Roman"/>
          <w:sz w:val="24"/>
          <w:szCs w:val="24"/>
        </w:rPr>
        <w:t xml:space="preserve"> eelduseks järgmise põlvkonna suure lisandväärtusega ettevõtjate juurdekasvuks Eesti majanduses.</w:t>
      </w:r>
    </w:p>
    <w:p w14:paraId="7A2A5C00" w14:textId="77777777" w:rsidR="0068357E" w:rsidRDefault="0068357E" w:rsidP="009B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7BE5D" w14:textId="09EED9D1" w:rsidR="009B0E88" w:rsidRDefault="00906E30" w:rsidP="009B0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Eesmärkide saavutamist ja tegevuste elluviimist mõõdetakse </w:t>
      </w:r>
      <w:r w:rsidR="009232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alljärgnevas tabelis esitatud näitajatega</w:t>
      </w:r>
      <w:r w:rsidR="00571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mis on</w:t>
      </w:r>
      <w:r w:rsidR="009232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esitatud </w:t>
      </w:r>
      <w:r w:rsidR="00534D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detailsemalt </w:t>
      </w:r>
      <w:r w:rsidR="00851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 </w:t>
      </w:r>
      <w:r w:rsidR="00E21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projektide lõikes </w:t>
      </w:r>
      <w:r w:rsidR="009B0E88" w:rsidRPr="00EC3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käskkirja</w:t>
      </w:r>
      <w:r w:rsidR="009B0E88" w:rsidRPr="00125D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lisas</w:t>
      </w:r>
      <w:r w:rsidR="009B0E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0E88" w:rsidRPr="00CD754C">
        <w:rPr>
          <w:rFonts w:ascii="Times New Roman" w:hAnsi="Times New Roman" w:cs="Times New Roman"/>
          <w:sz w:val="24"/>
          <w:szCs w:val="24"/>
        </w:rPr>
        <w:t>„P</w:t>
      </w:r>
      <w:r w:rsidR="0023798B" w:rsidRPr="00CD754C">
        <w:rPr>
          <w:rFonts w:ascii="Times New Roman" w:hAnsi="Times New Roman" w:cs="Times New Roman"/>
          <w:sz w:val="24"/>
          <w:szCs w:val="24"/>
        </w:rPr>
        <w:t>rojektid</w:t>
      </w:r>
      <w:r w:rsidR="003A0833" w:rsidRPr="00CD754C">
        <w:rPr>
          <w:rFonts w:ascii="Times New Roman" w:hAnsi="Times New Roman" w:cs="Times New Roman"/>
          <w:sz w:val="24"/>
          <w:szCs w:val="24"/>
        </w:rPr>
        <w:t>e</w:t>
      </w:r>
      <w:r w:rsidR="009B0E88" w:rsidRPr="00CD754C">
        <w:rPr>
          <w:rFonts w:ascii="Times New Roman" w:hAnsi="Times New Roman" w:cs="Times New Roman"/>
          <w:sz w:val="24"/>
          <w:szCs w:val="24"/>
        </w:rPr>
        <w:t xml:space="preserve"> </w:t>
      </w:r>
      <w:r w:rsidR="003A0833" w:rsidRPr="00CD754C">
        <w:rPr>
          <w:rFonts w:ascii="Times New Roman" w:hAnsi="Times New Roman" w:cs="Times New Roman"/>
          <w:sz w:val="24"/>
          <w:szCs w:val="24"/>
        </w:rPr>
        <w:t>nimekiri</w:t>
      </w:r>
      <w:r w:rsidR="009B0E88" w:rsidRPr="00CD754C">
        <w:rPr>
          <w:rFonts w:ascii="Times New Roman" w:hAnsi="Times New Roman" w:cs="Times New Roman"/>
          <w:sz w:val="24"/>
          <w:szCs w:val="24"/>
        </w:rPr>
        <w:t>“</w:t>
      </w:r>
      <w:r w:rsidR="0041031D">
        <w:rPr>
          <w:rFonts w:ascii="Times New Roman" w:hAnsi="Times New Roman" w:cs="Times New Roman"/>
          <w:sz w:val="24"/>
          <w:szCs w:val="24"/>
        </w:rPr>
        <w:t>.</w:t>
      </w:r>
      <w:r w:rsidR="009B0E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“;</w:t>
      </w:r>
    </w:p>
    <w:p w14:paraId="11054BD4" w14:textId="44EEE4D5" w:rsidR="003F5618" w:rsidRPr="00CD754C" w:rsidRDefault="003F5618" w:rsidP="00FE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DA705" w14:textId="5B36CDA2" w:rsidR="005A2D74" w:rsidRDefault="003F5618" w:rsidP="00596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58E9">
        <w:rPr>
          <w:rFonts w:ascii="Times New Roman" w:hAnsi="Times New Roman" w:cs="Times New Roman"/>
          <w:sz w:val="24"/>
          <w:szCs w:val="24"/>
        </w:rPr>
        <w:t xml:space="preserve">2) </w:t>
      </w:r>
      <w:r w:rsidR="006C69CB" w:rsidRPr="008858E9">
        <w:rPr>
          <w:rFonts w:ascii="Times New Roman" w:hAnsi="Times New Roman" w:cs="Times New Roman"/>
          <w:sz w:val="24"/>
          <w:szCs w:val="24"/>
        </w:rPr>
        <w:t>tõstan</w:t>
      </w:r>
      <w:r w:rsidR="001C35BD" w:rsidRPr="008858E9">
        <w:rPr>
          <w:rFonts w:ascii="Times New Roman" w:hAnsi="Times New Roman" w:cs="Times New Roman"/>
          <w:sz w:val="24"/>
          <w:szCs w:val="24"/>
        </w:rPr>
        <w:t xml:space="preserve"> </w:t>
      </w:r>
      <w:r w:rsidR="008A5613" w:rsidRPr="00885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käskkirja punkti</w:t>
      </w:r>
      <w:r w:rsidR="00E71C19" w:rsidRPr="00885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</w:t>
      </w:r>
      <w:r w:rsidR="001C35BD" w:rsidRPr="00885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5A2D74" w:rsidRPr="00885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603" w:rsidRPr="00885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tabeli</w:t>
      </w:r>
      <w:r w:rsidR="006C69CB" w:rsidRPr="00885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punkti 3</w:t>
      </w:r>
      <w:r w:rsidR="00E71C19" w:rsidRPr="00885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9C55C2E" w14:textId="27519782" w:rsidR="007718AA" w:rsidRDefault="007718AA" w:rsidP="00596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82FEFC" w14:textId="376B492D" w:rsidR="007718AA" w:rsidRPr="00596B0B" w:rsidRDefault="00081FFB" w:rsidP="0059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sõnastan käskkirja punkti 5.2 (muudetud 30.06.2023</w:t>
      </w:r>
      <w:r w:rsidR="009F32CC">
        <w:rPr>
          <w:rFonts w:ascii="Times New Roman" w:hAnsi="Times New Roman" w:cs="Times New Roman"/>
          <w:sz w:val="24"/>
          <w:szCs w:val="24"/>
        </w:rPr>
        <w:t xml:space="preserve"> käskkirjaga nr 126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3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järgmiselt</w:t>
      </w:r>
      <w:r w:rsidR="009F32CC">
        <w:rPr>
          <w:rFonts w:ascii="Times New Roman" w:hAnsi="Times New Roman" w:cs="Times New Roman"/>
          <w:sz w:val="24"/>
          <w:szCs w:val="24"/>
        </w:rPr>
        <w:t>:</w:t>
      </w:r>
    </w:p>
    <w:p w14:paraId="35128EEA" w14:textId="5C6320A2" w:rsidR="004E589C" w:rsidRDefault="009F32CC" w:rsidP="0059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5202E" w:rsidRPr="0075202E">
        <w:rPr>
          <w:rFonts w:ascii="Times New Roman" w:hAnsi="Times New Roman" w:cs="Times New Roman"/>
          <w:sz w:val="24"/>
          <w:szCs w:val="24"/>
        </w:rPr>
        <w:t xml:space="preserve">5.2. Punktis 2 nimetatud tegevuse elluviimiseks </w:t>
      </w:r>
      <w:r w:rsidR="002F53AE">
        <w:rPr>
          <w:rFonts w:ascii="Times New Roman" w:hAnsi="Times New Roman" w:cs="Times New Roman"/>
          <w:sz w:val="24"/>
          <w:szCs w:val="24"/>
        </w:rPr>
        <w:t>on</w:t>
      </w:r>
      <w:r w:rsidR="0075202E" w:rsidRPr="0075202E">
        <w:rPr>
          <w:rFonts w:ascii="Times New Roman" w:hAnsi="Times New Roman" w:cs="Times New Roman"/>
          <w:sz w:val="24"/>
          <w:szCs w:val="24"/>
        </w:rPr>
        <w:t xml:space="preserve"> elluviija kaasa</w:t>
      </w:r>
      <w:r w:rsidR="002F53AE">
        <w:rPr>
          <w:rFonts w:ascii="Times New Roman" w:hAnsi="Times New Roman" w:cs="Times New Roman"/>
          <w:sz w:val="24"/>
          <w:szCs w:val="24"/>
        </w:rPr>
        <w:t>nud</w:t>
      </w:r>
      <w:r w:rsidR="0075202E" w:rsidRPr="0075202E">
        <w:rPr>
          <w:rFonts w:ascii="Times New Roman" w:hAnsi="Times New Roman" w:cs="Times New Roman"/>
          <w:sz w:val="24"/>
          <w:szCs w:val="24"/>
        </w:rPr>
        <w:t xml:space="preserve"> partner</w:t>
      </w:r>
      <w:r w:rsidR="002F53AE">
        <w:rPr>
          <w:rFonts w:ascii="Times New Roman" w:hAnsi="Times New Roman" w:cs="Times New Roman"/>
          <w:sz w:val="24"/>
          <w:szCs w:val="24"/>
        </w:rPr>
        <w:t xml:space="preserve">id, kes on </w:t>
      </w:r>
      <w:r w:rsidR="00492BED">
        <w:rPr>
          <w:rFonts w:ascii="Times New Roman" w:hAnsi="Times New Roman" w:cs="Times New Roman"/>
          <w:sz w:val="24"/>
          <w:szCs w:val="24"/>
        </w:rPr>
        <w:t>nimetatud käskkirja lisas „Projektid</w:t>
      </w:r>
      <w:r w:rsidR="006611D4">
        <w:rPr>
          <w:rFonts w:ascii="Times New Roman" w:hAnsi="Times New Roman" w:cs="Times New Roman"/>
          <w:sz w:val="24"/>
          <w:szCs w:val="24"/>
        </w:rPr>
        <w:t>e nimekiri</w:t>
      </w:r>
      <w:r w:rsidR="00492BED">
        <w:rPr>
          <w:rFonts w:ascii="Times New Roman" w:hAnsi="Times New Roman" w:cs="Times New Roman"/>
          <w:sz w:val="24"/>
          <w:szCs w:val="24"/>
        </w:rPr>
        <w:t>“</w:t>
      </w:r>
      <w:r w:rsidR="004D4323">
        <w:rPr>
          <w:rFonts w:ascii="Times New Roman" w:hAnsi="Times New Roman" w:cs="Times New Roman"/>
          <w:sz w:val="24"/>
          <w:szCs w:val="24"/>
        </w:rPr>
        <w:t>.</w:t>
      </w:r>
      <w:r w:rsidR="0041031D">
        <w:rPr>
          <w:rFonts w:ascii="Times New Roman" w:hAnsi="Times New Roman" w:cs="Times New Roman"/>
          <w:sz w:val="24"/>
          <w:szCs w:val="24"/>
        </w:rPr>
        <w:t>“</w:t>
      </w:r>
      <w:r w:rsidR="004D4323">
        <w:rPr>
          <w:rFonts w:ascii="Times New Roman" w:hAnsi="Times New Roman" w:cs="Times New Roman"/>
          <w:sz w:val="24"/>
          <w:szCs w:val="24"/>
        </w:rPr>
        <w:t>;</w:t>
      </w:r>
    </w:p>
    <w:p w14:paraId="650A00EC" w14:textId="77777777" w:rsidR="004E589C" w:rsidRDefault="004E589C" w:rsidP="0059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7754C" w14:textId="2BD9A66E" w:rsidR="009F32CC" w:rsidRPr="00596B0B" w:rsidRDefault="004E589C" w:rsidP="0059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91">
        <w:rPr>
          <w:rFonts w:ascii="Times New Roman" w:hAnsi="Times New Roman" w:cs="Times New Roman"/>
          <w:sz w:val="24"/>
          <w:szCs w:val="24"/>
        </w:rPr>
        <w:t xml:space="preserve">Partnerite abikõlblike kulude katteks antav toetus on käsitletav vähese tähtsusega abina </w:t>
      </w:r>
      <w:r w:rsidR="005D6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39E7">
        <w:rPr>
          <w:rFonts w:ascii="Times New Roman" w:hAnsi="Times New Roman" w:cs="Times New Roman"/>
          <w:sz w:val="24"/>
          <w:szCs w:val="24"/>
        </w:rPr>
        <w:t xml:space="preserve">käskkirja punktis </w:t>
      </w:r>
      <w:r w:rsidR="00AB6B2D">
        <w:rPr>
          <w:rFonts w:ascii="Times New Roman" w:hAnsi="Times New Roman" w:cs="Times New Roman"/>
          <w:sz w:val="24"/>
          <w:szCs w:val="24"/>
        </w:rPr>
        <w:t>15.2</w:t>
      </w:r>
      <w:r w:rsidR="00B539E7">
        <w:rPr>
          <w:rFonts w:ascii="Times New Roman" w:hAnsi="Times New Roman" w:cs="Times New Roman"/>
          <w:sz w:val="24"/>
          <w:szCs w:val="24"/>
        </w:rPr>
        <w:t xml:space="preserve"> viidatud</w:t>
      </w:r>
      <w:r w:rsidR="00AB6B2D">
        <w:rPr>
          <w:rFonts w:ascii="Times New Roman" w:hAnsi="Times New Roman" w:cs="Times New Roman"/>
          <w:sz w:val="24"/>
          <w:szCs w:val="24"/>
        </w:rPr>
        <w:t xml:space="preserve"> määruse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6091">
        <w:rPr>
          <w:rFonts w:ascii="Times New Roman" w:hAnsi="Times New Roman" w:cs="Times New Roman"/>
          <w:sz w:val="24"/>
          <w:szCs w:val="24"/>
        </w:rPr>
        <w:t>mõistes</w:t>
      </w:r>
      <w:r w:rsidR="00CB5F97">
        <w:rPr>
          <w:rFonts w:ascii="Times New Roman" w:hAnsi="Times New Roman" w:cs="Times New Roman"/>
          <w:sz w:val="24"/>
          <w:szCs w:val="24"/>
        </w:rPr>
        <w:t>.</w:t>
      </w:r>
      <w:r w:rsidR="000566CB">
        <w:rPr>
          <w:rFonts w:ascii="Times New Roman" w:hAnsi="Times New Roman" w:cs="Times New Roman"/>
          <w:sz w:val="24"/>
          <w:szCs w:val="24"/>
        </w:rPr>
        <w:t>“;</w:t>
      </w:r>
    </w:p>
    <w:p w14:paraId="5E443E86" w14:textId="77777777" w:rsidR="001C35BD" w:rsidRDefault="001C35BD" w:rsidP="00FE0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604A34" w14:textId="51CB706E" w:rsidR="00B348B7" w:rsidRDefault="007718AA" w:rsidP="00FE0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2E7C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1C35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sõnastan käskkirja punkti</w:t>
      </w:r>
      <w:r w:rsidR="00B73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 </w:t>
      </w:r>
      <w:r w:rsidR="00B3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järgmiselt:</w:t>
      </w:r>
    </w:p>
    <w:p w14:paraId="2260DF04" w14:textId="66842495" w:rsidR="00B348B7" w:rsidRDefault="00B348B7" w:rsidP="00B34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Pr="00B3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Toetavate tegevuste eelarve on </w:t>
      </w:r>
      <w:r w:rsidR="00266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115</w:t>
      </w:r>
      <w:r w:rsidR="00A870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913 448,75</w:t>
      </w:r>
      <w:r w:rsidRPr="00B3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eurot, millest ELi toetus on </w:t>
      </w:r>
      <w:r w:rsidR="00D04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90</w:t>
      </w:r>
      <w:r w:rsidR="00954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04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7410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99</w:t>
      </w:r>
      <w:r w:rsidR="00954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7410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459,99</w:t>
      </w:r>
      <w:r w:rsidRPr="00B3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eurot ja millele lisandub riiklik kaasfinantseering </w:t>
      </w:r>
      <w:r w:rsidR="008B08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20 965 592</w:t>
      </w:r>
      <w:r w:rsidR="008B0851" w:rsidRPr="00B3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eurot ning toetuse saaja omafinantseering </w:t>
      </w:r>
      <w:r w:rsidR="00936A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4391</w:t>
      </w:r>
      <w:r w:rsidR="00A82C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595,62</w:t>
      </w:r>
      <w:r w:rsidR="008B08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eurot. Eelarve jaguneb punktis 2. sätestatud tegevuste</w:t>
      </w:r>
      <w:r w:rsidR="00F52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vahel</w:t>
      </w:r>
      <w:r w:rsidRPr="00B3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FBA" w:rsidRPr="006524B4">
        <w:rPr>
          <w:rFonts w:ascii="Times New Roman" w:hAnsi="Times New Roman" w:cs="Times New Roman"/>
          <w:sz w:val="24"/>
          <w:szCs w:val="24"/>
        </w:rPr>
        <w:t xml:space="preserve"> alljärgnevas tabelis toodud jaotuse alusel</w:t>
      </w:r>
      <w:r w:rsidR="0061101E" w:rsidDel="00F52D5E">
        <w:rPr>
          <w:rFonts w:ascii="Times New Roman" w:hAnsi="Times New Roman" w:cs="Times New Roman"/>
          <w:sz w:val="24"/>
          <w:szCs w:val="24"/>
        </w:rPr>
        <w:t xml:space="preserve"> </w:t>
      </w:r>
      <w:r w:rsidR="00F52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ning detailsemalt</w:t>
      </w:r>
      <w:r w:rsidR="00F52D5E" w:rsidRPr="00CD7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käskkirja lisas</w:t>
      </w:r>
      <w:r w:rsidR="00F52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D5E" w:rsidRPr="00CD754C">
        <w:rPr>
          <w:rFonts w:ascii="Times New Roman" w:hAnsi="Times New Roman" w:cs="Times New Roman"/>
          <w:sz w:val="24"/>
          <w:szCs w:val="24"/>
        </w:rPr>
        <w:t>„Projektid</w:t>
      </w:r>
      <w:r w:rsidR="004D25F1" w:rsidRPr="00CD754C">
        <w:rPr>
          <w:rFonts w:ascii="Times New Roman" w:hAnsi="Times New Roman" w:cs="Times New Roman"/>
          <w:sz w:val="24"/>
          <w:szCs w:val="24"/>
        </w:rPr>
        <w:t>e nimekiri</w:t>
      </w:r>
      <w:r w:rsidR="00F52D5E" w:rsidRPr="00CD754C">
        <w:rPr>
          <w:rFonts w:ascii="Times New Roman" w:hAnsi="Times New Roman" w:cs="Times New Roman"/>
          <w:sz w:val="24"/>
          <w:szCs w:val="24"/>
        </w:rPr>
        <w:t>“</w:t>
      </w:r>
      <w:r w:rsidR="00F52D5E">
        <w:rPr>
          <w:rFonts w:ascii="Times New Roman" w:hAnsi="Times New Roman" w:cs="Times New Roman"/>
          <w:sz w:val="24"/>
          <w:szCs w:val="24"/>
        </w:rPr>
        <w:t>.</w:t>
      </w:r>
    </w:p>
    <w:p w14:paraId="27D3C30D" w14:textId="77777777" w:rsidR="007B3748" w:rsidRDefault="007B3748" w:rsidP="00B34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10439" w:type="dxa"/>
        <w:tblInd w:w="-521" w:type="dxa"/>
        <w:tblLayout w:type="fixed"/>
        <w:tblLook w:val="04A0" w:firstRow="1" w:lastRow="0" w:firstColumn="1" w:lastColumn="0" w:noHBand="0" w:noVBand="1"/>
      </w:tblPr>
      <w:tblGrid>
        <w:gridCol w:w="3210"/>
        <w:gridCol w:w="1559"/>
        <w:gridCol w:w="2030"/>
        <w:gridCol w:w="1843"/>
        <w:gridCol w:w="1797"/>
      </w:tblGrid>
      <w:tr w:rsidR="007B3748" w:rsidRPr="005370C0" w14:paraId="3C3CF71C" w14:textId="77777777" w:rsidTr="00F52D5E">
        <w:trPr>
          <w:trHeight w:val="754"/>
        </w:trPr>
        <w:tc>
          <w:tcPr>
            <w:tcW w:w="3210" w:type="dxa"/>
          </w:tcPr>
          <w:p w14:paraId="0921B1B7" w14:textId="77777777" w:rsidR="007B3748" w:rsidRPr="005370C0" w:rsidRDefault="007B3748" w:rsidP="00CD754C">
            <w:pPr>
              <w:tabs>
                <w:tab w:val="left" w:pos="284"/>
              </w:tabs>
              <w:rPr>
                <w:lang w:val="et-EE" w:eastAsia="et-EE"/>
              </w:rPr>
            </w:pPr>
            <w:r w:rsidRPr="005370C0">
              <w:rPr>
                <w:b/>
                <w:bCs/>
                <w:lang w:val="et-EE"/>
              </w:rPr>
              <w:lastRenderedPageBreak/>
              <w:t>E</w:t>
            </w:r>
            <w:r w:rsidRPr="005370C0">
              <w:rPr>
                <w:b/>
                <w:bCs/>
                <w:spacing w:val="-1"/>
                <w:lang w:val="et-EE"/>
              </w:rPr>
              <w:t>e</w:t>
            </w:r>
            <w:r w:rsidRPr="005370C0">
              <w:rPr>
                <w:b/>
                <w:bCs/>
                <w:lang w:val="et-EE"/>
              </w:rPr>
              <w:t>larve</w:t>
            </w:r>
            <w:r w:rsidRPr="005370C0">
              <w:rPr>
                <w:b/>
                <w:bCs/>
                <w:spacing w:val="-1"/>
                <w:lang w:val="et-EE"/>
              </w:rPr>
              <w:t xml:space="preserve"> </w:t>
            </w:r>
            <w:r w:rsidRPr="005370C0">
              <w:rPr>
                <w:b/>
                <w:bCs/>
                <w:lang w:val="et-EE"/>
              </w:rPr>
              <w:t>jao</w:t>
            </w:r>
            <w:r w:rsidRPr="005370C0">
              <w:rPr>
                <w:b/>
                <w:bCs/>
                <w:spacing w:val="-1"/>
                <w:lang w:val="et-EE"/>
              </w:rPr>
              <w:t>t</w:t>
            </w:r>
            <w:r w:rsidRPr="005370C0">
              <w:rPr>
                <w:b/>
                <w:bCs/>
                <w:spacing w:val="1"/>
                <w:lang w:val="et-EE"/>
              </w:rPr>
              <w:t>u</w:t>
            </w:r>
            <w:r w:rsidRPr="005370C0">
              <w:rPr>
                <w:b/>
                <w:bCs/>
                <w:lang w:val="et-EE"/>
              </w:rPr>
              <w:t>s</w:t>
            </w:r>
            <w:r w:rsidRPr="005370C0">
              <w:rPr>
                <w:lang w:val="et-EE"/>
              </w:rPr>
              <w:t xml:space="preserve"> </w:t>
            </w:r>
            <w:r w:rsidRPr="005370C0">
              <w:rPr>
                <w:b/>
                <w:bCs/>
                <w:lang w:val="et-EE"/>
              </w:rPr>
              <w:t>2021</w:t>
            </w:r>
            <w:r>
              <w:rPr>
                <w:b/>
                <w:bCs/>
                <w:spacing w:val="-1"/>
                <w:lang w:val="et-EE"/>
              </w:rPr>
              <w:t>–</w:t>
            </w:r>
            <w:r w:rsidRPr="005370C0">
              <w:rPr>
                <w:b/>
                <w:bCs/>
                <w:lang w:val="et-EE"/>
              </w:rPr>
              <w:t>2027</w:t>
            </w:r>
          </w:p>
        </w:tc>
        <w:tc>
          <w:tcPr>
            <w:tcW w:w="1559" w:type="dxa"/>
          </w:tcPr>
          <w:p w14:paraId="6CAB7DE3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lang w:val="et-EE" w:eastAsia="et-EE"/>
              </w:rPr>
            </w:pPr>
            <w:r w:rsidRPr="005370C0">
              <w:rPr>
                <w:b/>
                <w:lang w:val="et-EE"/>
              </w:rPr>
              <w:t>E</w:t>
            </w:r>
            <w:r w:rsidRPr="005370C0">
              <w:rPr>
                <w:b/>
                <w:spacing w:val="1"/>
                <w:lang w:val="et-EE"/>
              </w:rPr>
              <w:t>u</w:t>
            </w:r>
            <w:r w:rsidRPr="005370C0">
              <w:rPr>
                <w:b/>
                <w:spacing w:val="-1"/>
                <w:lang w:val="et-EE"/>
              </w:rPr>
              <w:t>r</w:t>
            </w:r>
            <w:r w:rsidRPr="005370C0">
              <w:rPr>
                <w:b/>
                <w:lang w:val="et-EE"/>
              </w:rPr>
              <w:t>oo</w:t>
            </w:r>
            <w:r w:rsidRPr="005370C0">
              <w:rPr>
                <w:b/>
                <w:spacing w:val="1"/>
                <w:lang w:val="et-EE"/>
              </w:rPr>
              <w:t>p</w:t>
            </w:r>
            <w:r w:rsidRPr="005370C0">
              <w:rPr>
                <w:b/>
                <w:lang w:val="et-EE"/>
              </w:rPr>
              <w:t>a L</w:t>
            </w:r>
            <w:r w:rsidRPr="005370C0">
              <w:rPr>
                <w:b/>
                <w:spacing w:val="-2"/>
                <w:lang w:val="et-EE"/>
              </w:rPr>
              <w:t>i</w:t>
            </w:r>
            <w:r w:rsidRPr="005370C0">
              <w:rPr>
                <w:b/>
                <w:lang w:val="et-EE"/>
              </w:rPr>
              <w:t>i</w:t>
            </w:r>
            <w:r w:rsidRPr="005370C0">
              <w:rPr>
                <w:b/>
                <w:spacing w:val="1"/>
                <w:lang w:val="et-EE"/>
              </w:rPr>
              <w:t>d</w:t>
            </w:r>
            <w:r w:rsidRPr="005370C0">
              <w:rPr>
                <w:b/>
                <w:lang w:val="et-EE"/>
              </w:rPr>
              <w:t>u osal</w:t>
            </w:r>
            <w:r w:rsidRPr="005370C0">
              <w:rPr>
                <w:b/>
                <w:spacing w:val="1"/>
                <w:lang w:val="et-EE"/>
              </w:rPr>
              <w:t>u</w:t>
            </w:r>
            <w:r w:rsidRPr="005370C0">
              <w:rPr>
                <w:b/>
                <w:lang w:val="et-EE"/>
              </w:rPr>
              <w:t>s</w:t>
            </w:r>
          </w:p>
        </w:tc>
        <w:tc>
          <w:tcPr>
            <w:tcW w:w="2030" w:type="dxa"/>
          </w:tcPr>
          <w:p w14:paraId="0A096774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lang w:val="et-EE" w:eastAsia="et-EE"/>
              </w:rPr>
            </w:pPr>
            <w:r w:rsidRPr="005370C0">
              <w:rPr>
                <w:b/>
                <w:bCs/>
                <w:lang w:val="et-EE"/>
              </w:rPr>
              <w:t>Riiklik kaasfinantseering</w:t>
            </w:r>
          </w:p>
        </w:tc>
        <w:tc>
          <w:tcPr>
            <w:tcW w:w="1843" w:type="dxa"/>
          </w:tcPr>
          <w:p w14:paraId="25D27587" w14:textId="5A2B14D0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b/>
                <w:spacing w:val="-2"/>
                <w:lang w:val="et-EE"/>
              </w:rPr>
            </w:pPr>
            <w:r w:rsidRPr="005370C0">
              <w:rPr>
                <w:b/>
                <w:spacing w:val="-2"/>
                <w:lang w:val="et-EE"/>
              </w:rPr>
              <w:t>Omafinantseering</w:t>
            </w:r>
          </w:p>
        </w:tc>
        <w:tc>
          <w:tcPr>
            <w:tcW w:w="1797" w:type="dxa"/>
          </w:tcPr>
          <w:p w14:paraId="15F39237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b/>
                <w:spacing w:val="-2"/>
                <w:lang w:val="et-EE"/>
              </w:rPr>
            </w:pPr>
            <w:r w:rsidRPr="005370C0">
              <w:rPr>
                <w:b/>
                <w:spacing w:val="-2"/>
                <w:lang w:val="et-EE"/>
              </w:rPr>
              <w:t>KOKKU (100%)</w:t>
            </w:r>
          </w:p>
        </w:tc>
      </w:tr>
      <w:tr w:rsidR="007B3748" w:rsidRPr="005370C0" w14:paraId="563090BB" w14:textId="77777777" w:rsidTr="00F52D5E">
        <w:trPr>
          <w:trHeight w:val="300"/>
        </w:trPr>
        <w:tc>
          <w:tcPr>
            <w:tcW w:w="3210" w:type="dxa"/>
          </w:tcPr>
          <w:p w14:paraId="09E0D0AE" w14:textId="77777777" w:rsidR="007B3748" w:rsidRPr="00017EC9" w:rsidRDefault="007B3748" w:rsidP="00CD754C">
            <w:pPr>
              <w:ind w:right="104"/>
              <w:rPr>
                <w:b/>
                <w:bCs/>
                <w:lang w:val="et-EE"/>
              </w:rPr>
            </w:pPr>
            <w:r w:rsidRPr="005370C0">
              <w:rPr>
                <w:color w:val="000000"/>
                <w:lang w:val="et-EE"/>
              </w:rPr>
              <w:t xml:space="preserve">21.1.3.15 </w:t>
            </w:r>
            <w:r w:rsidRPr="005370C0">
              <w:rPr>
                <w:b/>
                <w:bCs/>
                <w:lang w:val="et-EE"/>
              </w:rPr>
              <w:t>Ettevõtlusteadlikkus, sealhulgas juhtimiskvaliteet ja vastutustundlik ettevõtlus (käskkirja p. 2.1.)</w:t>
            </w:r>
          </w:p>
        </w:tc>
        <w:tc>
          <w:tcPr>
            <w:tcW w:w="1559" w:type="dxa"/>
          </w:tcPr>
          <w:p w14:paraId="10B25F15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b/>
                <w:lang w:val="et-EE"/>
              </w:rPr>
            </w:pPr>
            <w:r w:rsidRPr="005370C0">
              <w:rPr>
                <w:lang w:val="et-EE"/>
              </w:rPr>
              <w:t>6 139 000 (87,5%)</w:t>
            </w:r>
          </w:p>
        </w:tc>
        <w:tc>
          <w:tcPr>
            <w:tcW w:w="2030" w:type="dxa"/>
          </w:tcPr>
          <w:p w14:paraId="25F66120" w14:textId="77777777" w:rsidR="007B3748" w:rsidRDefault="007B3748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  <w:r w:rsidRPr="005370C0">
              <w:rPr>
                <w:lang w:val="et-EE"/>
              </w:rPr>
              <w:t>877</w:t>
            </w:r>
            <w:r>
              <w:rPr>
                <w:lang w:val="et-EE"/>
              </w:rPr>
              <w:t> </w:t>
            </w:r>
            <w:r w:rsidRPr="005370C0">
              <w:rPr>
                <w:lang w:val="et-EE"/>
              </w:rPr>
              <w:t xml:space="preserve">000 </w:t>
            </w:r>
          </w:p>
          <w:p w14:paraId="77F8E0D0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b/>
                <w:bCs/>
                <w:lang w:val="et-EE"/>
              </w:rPr>
            </w:pPr>
            <w:r w:rsidRPr="005370C0">
              <w:rPr>
                <w:lang w:val="et-EE"/>
              </w:rPr>
              <w:t>(12,5%)</w:t>
            </w:r>
          </w:p>
          <w:p w14:paraId="21D583C0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bCs/>
                <w:spacing w:val="-2"/>
                <w:lang w:val="et-EE"/>
              </w:rPr>
            </w:pPr>
          </w:p>
        </w:tc>
        <w:tc>
          <w:tcPr>
            <w:tcW w:w="1843" w:type="dxa"/>
          </w:tcPr>
          <w:p w14:paraId="172C1DB7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color w:val="000000"/>
                <w:lang w:val="et-EE"/>
              </w:rPr>
            </w:pPr>
            <w:r w:rsidRPr="005370C0">
              <w:rPr>
                <w:color w:val="000000"/>
                <w:lang w:val="et-EE"/>
              </w:rPr>
              <w:t>0 (0%)</w:t>
            </w:r>
          </w:p>
        </w:tc>
        <w:tc>
          <w:tcPr>
            <w:tcW w:w="1797" w:type="dxa"/>
          </w:tcPr>
          <w:p w14:paraId="127CBB77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b/>
                <w:spacing w:val="-2"/>
                <w:lang w:val="et-EE"/>
              </w:rPr>
            </w:pPr>
            <w:r w:rsidRPr="005370C0">
              <w:rPr>
                <w:color w:val="000000"/>
                <w:lang w:val="et-EE"/>
              </w:rPr>
              <w:t>7 016 000</w:t>
            </w:r>
          </w:p>
        </w:tc>
      </w:tr>
      <w:tr w:rsidR="007B3748" w:rsidRPr="005370C0" w14:paraId="3C722E05" w14:textId="77777777" w:rsidTr="00F52D5E">
        <w:trPr>
          <w:trHeight w:val="300"/>
        </w:trPr>
        <w:tc>
          <w:tcPr>
            <w:tcW w:w="3210" w:type="dxa"/>
          </w:tcPr>
          <w:p w14:paraId="202D413C" w14:textId="77777777" w:rsidR="007B3748" w:rsidRPr="005370C0" w:rsidRDefault="007B3748" w:rsidP="00CD754C">
            <w:pPr>
              <w:ind w:right="104"/>
              <w:rPr>
                <w:b/>
                <w:bCs/>
                <w:lang w:val="et-EE"/>
              </w:rPr>
            </w:pPr>
            <w:r w:rsidRPr="005370C0">
              <w:rPr>
                <w:lang w:val="et-EE"/>
              </w:rPr>
              <w:t xml:space="preserve">21.1.3.11 </w:t>
            </w:r>
            <w:r w:rsidRPr="008D4E64">
              <w:rPr>
                <w:b/>
                <w:bCs/>
                <w:lang w:val="et-EE"/>
              </w:rPr>
              <w:t>E</w:t>
            </w:r>
            <w:r w:rsidRPr="005370C0">
              <w:rPr>
                <w:b/>
                <w:bCs/>
                <w:lang w:val="et-EE"/>
              </w:rPr>
              <w:t xml:space="preserve">ttevõtjate rahvusvahelistumise toetamine (sealhulgas </w:t>
            </w:r>
            <w:proofErr w:type="spellStart"/>
            <w:r w:rsidRPr="005370C0">
              <w:rPr>
                <w:b/>
                <w:bCs/>
                <w:lang w:val="et-EE"/>
              </w:rPr>
              <w:t>välisesindajate</w:t>
            </w:r>
            <w:proofErr w:type="spellEnd"/>
            <w:r w:rsidRPr="005370C0">
              <w:rPr>
                <w:b/>
                <w:bCs/>
                <w:lang w:val="et-EE"/>
              </w:rPr>
              <w:t xml:space="preserve"> võrgustiku arendamine, </w:t>
            </w:r>
            <w:proofErr w:type="spellStart"/>
            <w:r w:rsidRPr="005370C0">
              <w:rPr>
                <w:b/>
                <w:bCs/>
                <w:lang w:val="et-EE"/>
              </w:rPr>
              <w:t>ühisstendidel</w:t>
            </w:r>
            <w:proofErr w:type="spellEnd"/>
            <w:r w:rsidRPr="005370C0">
              <w:rPr>
                <w:b/>
                <w:bCs/>
                <w:lang w:val="et-EE"/>
              </w:rPr>
              <w:t xml:space="preserve"> osalemise toetamine, ekspordialaste kompetentside ja võimekuse arendamine; välisinvesteeringute ja </w:t>
            </w:r>
            <w:proofErr w:type="spellStart"/>
            <w:r w:rsidRPr="005370C0">
              <w:rPr>
                <w:b/>
                <w:bCs/>
                <w:lang w:val="et-EE"/>
              </w:rPr>
              <w:t>välisspetsialistide</w:t>
            </w:r>
            <w:proofErr w:type="spellEnd"/>
            <w:r w:rsidRPr="005370C0">
              <w:rPr>
                <w:b/>
                <w:bCs/>
                <w:lang w:val="et-EE"/>
              </w:rPr>
              <w:t xml:space="preserve"> kaasamise toetamine) (käskkirja p. 2.2.)</w:t>
            </w:r>
          </w:p>
        </w:tc>
        <w:tc>
          <w:tcPr>
            <w:tcW w:w="1559" w:type="dxa"/>
          </w:tcPr>
          <w:p w14:paraId="040E59C3" w14:textId="53DFF3CE" w:rsidR="00077C6D" w:rsidRDefault="00077C6D" w:rsidP="00CD754C">
            <w:pPr>
              <w:tabs>
                <w:tab w:val="left" w:pos="284"/>
              </w:tabs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 </w:t>
            </w:r>
          </w:p>
          <w:p w14:paraId="3B4C324A" w14:textId="005CD2C4" w:rsidR="004B6C73" w:rsidRDefault="004B6C73" w:rsidP="00CD754C">
            <w:pPr>
              <w:tabs>
                <w:tab w:val="left" w:pos="284"/>
              </w:tabs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58</w:t>
            </w:r>
            <w:r w:rsidR="002F0FCA">
              <w:rPr>
                <w:lang w:val="et-EE" w:eastAsia="et-EE"/>
              </w:rPr>
              <w:t> 637 000</w:t>
            </w:r>
          </w:p>
          <w:p w14:paraId="032C5279" w14:textId="17FC454A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lang w:val="et-EE" w:eastAsia="et-EE"/>
              </w:rPr>
            </w:pPr>
            <w:r w:rsidRPr="005370C0">
              <w:rPr>
                <w:lang w:val="et-EE" w:eastAsia="et-EE"/>
              </w:rPr>
              <w:t>(82,5%)</w:t>
            </w:r>
          </w:p>
        </w:tc>
        <w:tc>
          <w:tcPr>
            <w:tcW w:w="2030" w:type="dxa"/>
          </w:tcPr>
          <w:p w14:paraId="4DD2B5BC" w14:textId="238C5325" w:rsidR="00077C6D" w:rsidRDefault="00077C6D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  <w:r>
              <w:rPr>
                <w:lang w:val="et-EE"/>
              </w:rPr>
              <w:t> </w:t>
            </w:r>
          </w:p>
          <w:p w14:paraId="73739414" w14:textId="6BE51139" w:rsidR="00AE7E76" w:rsidRDefault="00AE7E76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  <w:r>
              <w:rPr>
                <w:lang w:val="et-EE"/>
              </w:rPr>
              <w:t>8 862</w:t>
            </w:r>
            <w:r w:rsidR="00951D6E">
              <w:rPr>
                <w:lang w:val="et-EE"/>
              </w:rPr>
              <w:t> 840,5</w:t>
            </w:r>
          </w:p>
          <w:p w14:paraId="6D08D9B6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iCs/>
                <w:lang w:val="et-EE" w:eastAsia="et-EE"/>
              </w:rPr>
            </w:pPr>
            <w:r w:rsidRPr="005370C0">
              <w:rPr>
                <w:lang w:val="et-EE"/>
              </w:rPr>
              <w:t>(12,5%)</w:t>
            </w:r>
          </w:p>
          <w:p w14:paraId="07951554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lang w:val="et-EE" w:eastAsia="et-EE"/>
              </w:rPr>
            </w:pPr>
          </w:p>
        </w:tc>
        <w:tc>
          <w:tcPr>
            <w:tcW w:w="1843" w:type="dxa"/>
          </w:tcPr>
          <w:p w14:paraId="3A7C5EB6" w14:textId="595E676A" w:rsidR="007B3748" w:rsidRDefault="007B3748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  <w:r w:rsidRPr="005370C0">
              <w:rPr>
                <w:lang w:val="et-EE"/>
              </w:rPr>
              <w:t xml:space="preserve"> </w:t>
            </w:r>
            <w:r w:rsidR="00077C6D">
              <w:rPr>
                <w:lang w:val="et-EE"/>
              </w:rPr>
              <w:t xml:space="preserve">3 552 747,2 </w:t>
            </w:r>
            <w:r w:rsidRPr="005370C0">
              <w:rPr>
                <w:lang w:val="et-EE"/>
              </w:rPr>
              <w:t>(5%)</w:t>
            </w:r>
          </w:p>
          <w:p w14:paraId="7D5FF4E1" w14:textId="0EC337D9" w:rsidR="00AA0355" w:rsidRPr="005370C0" w:rsidRDefault="00AA0355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</w:p>
        </w:tc>
        <w:tc>
          <w:tcPr>
            <w:tcW w:w="1797" w:type="dxa"/>
          </w:tcPr>
          <w:p w14:paraId="67E54AEB" w14:textId="15B23776" w:rsidR="00077C6D" w:rsidRDefault="00077C6D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  <w:bookmarkStart w:id="0" w:name="_Hlk113891342"/>
            <w:bookmarkEnd w:id="0"/>
          </w:p>
          <w:p w14:paraId="654252DF" w14:textId="5EFE969F" w:rsidR="00DB5EBB" w:rsidRPr="005370C0" w:rsidRDefault="00DB5EBB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  <w:r>
              <w:rPr>
                <w:lang w:val="et-EE"/>
              </w:rPr>
              <w:t>71</w:t>
            </w:r>
            <w:r w:rsidR="00831DB9">
              <w:rPr>
                <w:lang w:val="et-EE"/>
              </w:rPr>
              <w:t> </w:t>
            </w:r>
            <w:r>
              <w:rPr>
                <w:lang w:val="et-EE"/>
              </w:rPr>
              <w:t>0</w:t>
            </w:r>
            <w:r w:rsidR="00831DB9">
              <w:rPr>
                <w:lang w:val="et-EE"/>
              </w:rPr>
              <w:t>52</w:t>
            </w:r>
            <w:r w:rsidR="00093CE0">
              <w:rPr>
                <w:lang w:val="et-EE"/>
              </w:rPr>
              <w:t> </w:t>
            </w:r>
            <w:r w:rsidR="00A1218E">
              <w:rPr>
                <w:lang w:val="et-EE"/>
              </w:rPr>
              <w:t>587</w:t>
            </w:r>
            <w:r w:rsidR="00093CE0">
              <w:rPr>
                <w:lang w:val="et-EE"/>
              </w:rPr>
              <w:t>,</w:t>
            </w:r>
            <w:r w:rsidR="00A1218E">
              <w:rPr>
                <w:lang w:val="et-EE"/>
              </w:rPr>
              <w:t>7</w:t>
            </w:r>
          </w:p>
        </w:tc>
      </w:tr>
      <w:tr w:rsidR="007B3748" w:rsidRPr="005370C0" w14:paraId="40A01531" w14:textId="77777777" w:rsidTr="00F52D5E">
        <w:trPr>
          <w:trHeight w:val="300"/>
        </w:trPr>
        <w:tc>
          <w:tcPr>
            <w:tcW w:w="3210" w:type="dxa"/>
          </w:tcPr>
          <w:p w14:paraId="035C5D12" w14:textId="77777777" w:rsidR="007B3748" w:rsidRPr="009F5DFA" w:rsidRDefault="007B3748" w:rsidP="00CD754C">
            <w:pPr>
              <w:rPr>
                <w:b/>
                <w:bCs/>
                <w:lang w:val="et-EE"/>
              </w:rPr>
            </w:pPr>
            <w:r w:rsidRPr="005370C0">
              <w:rPr>
                <w:bCs/>
                <w:color w:val="000000"/>
                <w:lang w:val="et-EE"/>
              </w:rPr>
              <w:t xml:space="preserve">21.1.1.11 </w:t>
            </w:r>
            <w:r w:rsidRPr="005370C0">
              <w:rPr>
                <w:b/>
                <w:bCs/>
                <w:lang w:val="et-EE"/>
              </w:rPr>
              <w:t>Ettevõtjate TAI teadlikkuse kasvatamine (TAI võimalused) ja TAI võimekuse tõstmine</w:t>
            </w:r>
            <w:r>
              <w:rPr>
                <w:b/>
                <w:bCs/>
                <w:lang w:val="et-EE"/>
              </w:rPr>
              <w:t xml:space="preserve"> </w:t>
            </w:r>
            <w:r w:rsidRPr="009F5DFA">
              <w:rPr>
                <w:b/>
                <w:bCs/>
                <w:lang w:val="et-EE"/>
              </w:rPr>
              <w:t>(sh arendusnõunikud ja kestlikkuse nõunikud erialaliitude juures)</w:t>
            </w:r>
          </w:p>
          <w:p w14:paraId="096B3A8F" w14:textId="77777777" w:rsidR="007B3748" w:rsidRPr="005370C0" w:rsidRDefault="007B3748" w:rsidP="00CD754C">
            <w:pPr>
              <w:ind w:right="104"/>
              <w:rPr>
                <w:b/>
                <w:bCs/>
                <w:lang w:val="et-EE"/>
              </w:rPr>
            </w:pPr>
            <w:r w:rsidRPr="005370C0">
              <w:rPr>
                <w:b/>
                <w:bCs/>
                <w:lang w:val="et-EE"/>
              </w:rPr>
              <w:t>(käskkirja p. 2.3.)</w:t>
            </w:r>
          </w:p>
        </w:tc>
        <w:tc>
          <w:tcPr>
            <w:tcW w:w="1559" w:type="dxa"/>
          </w:tcPr>
          <w:p w14:paraId="71B22A35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  <w:r>
              <w:rPr>
                <w:lang w:val="et-EE"/>
              </w:rPr>
              <w:t>20 851 460</w:t>
            </w:r>
            <w:r w:rsidRPr="005370C0">
              <w:rPr>
                <w:lang w:val="et-EE"/>
              </w:rPr>
              <w:t xml:space="preserve"> (</w:t>
            </w:r>
            <w:r>
              <w:rPr>
                <w:lang w:val="et-EE"/>
              </w:rPr>
              <w:t>67,1</w:t>
            </w:r>
            <w:r w:rsidRPr="005370C0">
              <w:rPr>
                <w:lang w:val="et-EE"/>
              </w:rPr>
              <w:t>%)</w:t>
            </w:r>
          </w:p>
        </w:tc>
        <w:tc>
          <w:tcPr>
            <w:tcW w:w="2030" w:type="dxa"/>
          </w:tcPr>
          <w:p w14:paraId="5B0A1E2D" w14:textId="098EC7E8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  <w:r w:rsidRPr="005370C0">
              <w:rPr>
                <w:lang w:val="et-EE"/>
              </w:rPr>
              <w:t>10 </w:t>
            </w:r>
            <w:r w:rsidR="00636D19">
              <w:rPr>
                <w:lang w:val="et-EE"/>
              </w:rPr>
              <w:t>217</w:t>
            </w:r>
            <w:r w:rsidRPr="005370C0">
              <w:rPr>
                <w:lang w:val="et-EE"/>
              </w:rPr>
              <w:t xml:space="preserve"> </w:t>
            </w:r>
            <w:r w:rsidR="00636D19">
              <w:rPr>
                <w:lang w:val="et-EE"/>
              </w:rPr>
              <w:t>734</w:t>
            </w:r>
            <w:r w:rsidRPr="005370C0">
              <w:rPr>
                <w:lang w:val="et-EE"/>
              </w:rPr>
              <w:t xml:space="preserve"> (3</w:t>
            </w:r>
            <w:r>
              <w:rPr>
                <w:lang w:val="et-EE"/>
              </w:rPr>
              <w:t>2,</w:t>
            </w:r>
            <w:r w:rsidR="00636D19">
              <w:rPr>
                <w:lang w:val="et-EE"/>
              </w:rPr>
              <w:t>6</w:t>
            </w:r>
            <w:r w:rsidRPr="005370C0">
              <w:rPr>
                <w:lang w:val="et-EE"/>
              </w:rPr>
              <w:t>%)</w:t>
            </w:r>
          </w:p>
        </w:tc>
        <w:tc>
          <w:tcPr>
            <w:tcW w:w="1843" w:type="dxa"/>
          </w:tcPr>
          <w:p w14:paraId="2E3485FB" w14:textId="0ADD9FBF" w:rsidR="007B3748" w:rsidRPr="005370C0" w:rsidDel="00632F00" w:rsidRDefault="007B3748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  <w:r>
              <w:rPr>
                <w:lang w:val="et-EE"/>
              </w:rPr>
              <w:t>215 74</w:t>
            </w:r>
            <w:r w:rsidR="009473C6">
              <w:rPr>
                <w:lang w:val="et-EE"/>
              </w:rPr>
              <w:t>9</w:t>
            </w:r>
            <w:r>
              <w:rPr>
                <w:lang w:val="et-EE"/>
              </w:rPr>
              <w:t xml:space="preserve"> </w:t>
            </w:r>
            <w:r w:rsidRPr="005370C0">
              <w:rPr>
                <w:color w:val="000000"/>
                <w:lang w:val="et-EE"/>
              </w:rPr>
              <w:t>(0</w:t>
            </w:r>
            <w:r>
              <w:rPr>
                <w:color w:val="000000"/>
                <w:lang w:val="et-EE"/>
              </w:rPr>
              <w:t>,7</w:t>
            </w:r>
            <w:r w:rsidRPr="005370C0">
              <w:rPr>
                <w:color w:val="000000"/>
                <w:lang w:val="et-EE"/>
              </w:rPr>
              <w:t>%)</w:t>
            </w:r>
          </w:p>
        </w:tc>
        <w:tc>
          <w:tcPr>
            <w:tcW w:w="1797" w:type="dxa"/>
          </w:tcPr>
          <w:p w14:paraId="3004BBA9" w14:textId="0F48ED4F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color w:val="000000"/>
                <w:lang w:val="et-EE"/>
              </w:rPr>
            </w:pPr>
            <w:r>
              <w:rPr>
                <w:lang w:val="et-EE"/>
              </w:rPr>
              <w:t>31 </w:t>
            </w:r>
            <w:r w:rsidR="009473C6">
              <w:rPr>
                <w:lang w:val="et-EE"/>
              </w:rPr>
              <w:t>284</w:t>
            </w:r>
            <w:r>
              <w:rPr>
                <w:lang w:val="et-EE"/>
              </w:rPr>
              <w:t> </w:t>
            </w:r>
            <w:r w:rsidR="00E664ED">
              <w:rPr>
                <w:lang w:val="et-EE"/>
              </w:rPr>
              <w:t>943</w:t>
            </w:r>
          </w:p>
        </w:tc>
      </w:tr>
      <w:tr w:rsidR="007B3748" w:rsidRPr="005370C0" w14:paraId="61EEA948" w14:textId="77777777" w:rsidTr="00F52D5E">
        <w:trPr>
          <w:trHeight w:val="300"/>
        </w:trPr>
        <w:tc>
          <w:tcPr>
            <w:tcW w:w="3210" w:type="dxa"/>
          </w:tcPr>
          <w:p w14:paraId="5859C7A0" w14:textId="77777777" w:rsidR="007B3748" w:rsidRPr="005370C0" w:rsidDel="00BC1172" w:rsidRDefault="007B3748" w:rsidP="00CD754C">
            <w:pPr>
              <w:ind w:right="104"/>
              <w:rPr>
                <w:b/>
                <w:bCs/>
                <w:lang w:val="et-EE"/>
              </w:rPr>
            </w:pPr>
            <w:r w:rsidRPr="005370C0">
              <w:rPr>
                <w:bCs/>
                <w:color w:val="000000"/>
                <w:lang w:val="et-EE"/>
              </w:rPr>
              <w:t xml:space="preserve">21.1.1.15 </w:t>
            </w:r>
            <w:r w:rsidRPr="005370C0">
              <w:rPr>
                <w:b/>
                <w:bCs/>
                <w:lang w:val="et-EE"/>
              </w:rPr>
              <w:t>Innovaatilised riigihanked</w:t>
            </w:r>
          </w:p>
          <w:p w14:paraId="074C2244" w14:textId="77777777" w:rsidR="007B3748" w:rsidRPr="005370C0" w:rsidDel="00BC1172" w:rsidRDefault="007B3748" w:rsidP="00CD754C">
            <w:pPr>
              <w:ind w:right="104"/>
              <w:rPr>
                <w:b/>
                <w:bCs/>
                <w:lang w:val="et-EE"/>
              </w:rPr>
            </w:pPr>
            <w:r w:rsidRPr="005370C0">
              <w:rPr>
                <w:b/>
                <w:bCs/>
                <w:lang w:val="et-EE"/>
              </w:rPr>
              <w:t>(käskkirja p 2.4.)</w:t>
            </w:r>
          </w:p>
        </w:tc>
        <w:tc>
          <w:tcPr>
            <w:tcW w:w="1559" w:type="dxa"/>
          </w:tcPr>
          <w:p w14:paraId="0ECB35B7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  <w:r w:rsidRPr="005370C0">
              <w:rPr>
                <w:lang w:val="et-EE"/>
              </w:rPr>
              <w:t>2 472 000 (77,8%)</w:t>
            </w:r>
          </w:p>
        </w:tc>
        <w:tc>
          <w:tcPr>
            <w:tcW w:w="2030" w:type="dxa"/>
          </w:tcPr>
          <w:p w14:paraId="24D86B00" w14:textId="77777777" w:rsidR="007B3748" w:rsidRDefault="007B3748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  <w:r w:rsidRPr="005370C0">
              <w:rPr>
                <w:lang w:val="et-EE"/>
              </w:rPr>
              <w:t>706</w:t>
            </w:r>
            <w:r>
              <w:rPr>
                <w:lang w:val="et-EE"/>
              </w:rPr>
              <w:t> </w:t>
            </w:r>
            <w:r w:rsidRPr="005370C0">
              <w:rPr>
                <w:lang w:val="et-EE"/>
              </w:rPr>
              <w:t xml:space="preserve">286 </w:t>
            </w:r>
          </w:p>
          <w:p w14:paraId="1D8D9759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  <w:r w:rsidRPr="005370C0">
              <w:rPr>
                <w:lang w:val="et-EE"/>
              </w:rPr>
              <w:t>(22,2%)</w:t>
            </w:r>
          </w:p>
        </w:tc>
        <w:tc>
          <w:tcPr>
            <w:tcW w:w="1843" w:type="dxa"/>
          </w:tcPr>
          <w:p w14:paraId="5BF3FB96" w14:textId="77777777" w:rsidR="007B3748" w:rsidRDefault="007B3748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  <w:r w:rsidRPr="005370C0">
              <w:rPr>
                <w:lang w:val="et-EE"/>
              </w:rPr>
              <w:t xml:space="preserve">0 </w:t>
            </w:r>
          </w:p>
          <w:p w14:paraId="3A07838F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lang w:val="et-EE"/>
              </w:rPr>
            </w:pPr>
            <w:r w:rsidRPr="005370C0">
              <w:rPr>
                <w:color w:val="000000"/>
                <w:lang w:val="et-EE"/>
              </w:rPr>
              <w:t>(0%)</w:t>
            </w:r>
          </w:p>
        </w:tc>
        <w:tc>
          <w:tcPr>
            <w:tcW w:w="1797" w:type="dxa"/>
          </w:tcPr>
          <w:p w14:paraId="4D4EC52A" w14:textId="77777777" w:rsidR="007B3748" w:rsidRPr="005370C0" w:rsidRDefault="007B3748" w:rsidP="00CD754C">
            <w:pPr>
              <w:tabs>
                <w:tab w:val="left" w:pos="284"/>
              </w:tabs>
              <w:jc w:val="center"/>
              <w:rPr>
                <w:color w:val="000000"/>
                <w:lang w:val="et-EE"/>
              </w:rPr>
            </w:pPr>
            <w:r w:rsidRPr="005370C0">
              <w:rPr>
                <w:lang w:val="et-EE"/>
              </w:rPr>
              <w:t>3 178 286</w:t>
            </w:r>
          </w:p>
        </w:tc>
      </w:tr>
      <w:tr w:rsidR="007B3748" w:rsidRPr="005370C0" w14:paraId="76BE529A" w14:textId="77777777" w:rsidTr="00F52D5E">
        <w:trPr>
          <w:trHeight w:val="300"/>
        </w:trPr>
        <w:tc>
          <w:tcPr>
            <w:tcW w:w="3210" w:type="dxa"/>
          </w:tcPr>
          <w:p w14:paraId="1BE124DF" w14:textId="77777777" w:rsidR="007B3748" w:rsidRPr="005370C0" w:rsidRDefault="007B3748" w:rsidP="00CD754C">
            <w:pPr>
              <w:ind w:right="104"/>
              <w:rPr>
                <w:b/>
                <w:bCs/>
                <w:lang w:val="et-EE"/>
              </w:rPr>
            </w:pPr>
            <w:r w:rsidRPr="005370C0">
              <w:rPr>
                <w:b/>
                <w:bCs/>
                <w:lang w:val="et-EE"/>
              </w:rPr>
              <w:t>KOKKU</w:t>
            </w:r>
          </w:p>
          <w:p w14:paraId="27504033" w14:textId="77777777" w:rsidR="007B3748" w:rsidRPr="005370C0" w:rsidRDefault="007B3748" w:rsidP="00CD754C">
            <w:pPr>
              <w:ind w:right="104"/>
              <w:rPr>
                <w:b/>
                <w:bCs/>
                <w:lang w:val="et-EE"/>
              </w:rPr>
            </w:pPr>
          </w:p>
        </w:tc>
        <w:tc>
          <w:tcPr>
            <w:tcW w:w="1559" w:type="dxa"/>
          </w:tcPr>
          <w:p w14:paraId="6A876DAC" w14:textId="50D7E3EF" w:rsidR="00077C6D" w:rsidRPr="0007451E" w:rsidRDefault="00077C6D" w:rsidP="00CD754C">
            <w:pPr>
              <w:tabs>
                <w:tab w:val="left" w:pos="284"/>
              </w:tabs>
              <w:jc w:val="center"/>
              <w:rPr>
                <w:b/>
                <w:bCs/>
                <w:lang w:val="et-EE"/>
              </w:rPr>
            </w:pPr>
            <w:r w:rsidRPr="0007451E">
              <w:rPr>
                <w:b/>
                <w:bCs/>
                <w:lang w:val="et-EE"/>
              </w:rPr>
              <w:t> </w:t>
            </w:r>
          </w:p>
          <w:p w14:paraId="4CBBBF6A" w14:textId="4B2877C4" w:rsidR="00845531" w:rsidRPr="0007451E" w:rsidRDefault="00845531" w:rsidP="00CD754C">
            <w:pPr>
              <w:tabs>
                <w:tab w:val="left" w:pos="284"/>
              </w:tabs>
              <w:jc w:val="center"/>
              <w:rPr>
                <w:b/>
                <w:bCs/>
                <w:lang w:val="et-EE"/>
              </w:rPr>
            </w:pPr>
            <w:r w:rsidRPr="0007451E">
              <w:rPr>
                <w:b/>
                <w:bCs/>
                <w:lang w:val="et-EE"/>
              </w:rPr>
              <w:t>88 099 460</w:t>
            </w:r>
          </w:p>
        </w:tc>
        <w:tc>
          <w:tcPr>
            <w:tcW w:w="2030" w:type="dxa"/>
          </w:tcPr>
          <w:p w14:paraId="470A156F" w14:textId="45DB9125" w:rsidR="00845531" w:rsidRDefault="00AB344A" w:rsidP="00CD754C">
            <w:pPr>
              <w:tabs>
                <w:tab w:val="left" w:pos="284"/>
              </w:tabs>
              <w:jc w:val="center"/>
              <w:rPr>
                <w:b/>
                <w:bCs/>
                <w:lang w:val="et-EE" w:eastAsia="et-EE"/>
              </w:rPr>
            </w:pPr>
            <w:r>
              <w:rPr>
                <w:b/>
                <w:bCs/>
                <w:lang w:val="et-EE" w:eastAsia="et-EE"/>
              </w:rPr>
              <w:t> </w:t>
            </w:r>
          </w:p>
          <w:p w14:paraId="59AB2C02" w14:textId="39B8D41A" w:rsidR="00AB344A" w:rsidRPr="0007451E" w:rsidRDefault="00AB344A" w:rsidP="00CD754C">
            <w:pPr>
              <w:tabs>
                <w:tab w:val="left" w:pos="284"/>
              </w:tabs>
              <w:jc w:val="center"/>
              <w:rPr>
                <w:b/>
                <w:bCs/>
                <w:lang w:val="et-EE" w:eastAsia="et-EE"/>
              </w:rPr>
            </w:pPr>
            <w:r>
              <w:rPr>
                <w:b/>
                <w:bCs/>
                <w:lang w:val="et-EE" w:eastAsia="et-EE"/>
              </w:rPr>
              <w:t>20 663 860,5</w:t>
            </w:r>
          </w:p>
        </w:tc>
        <w:tc>
          <w:tcPr>
            <w:tcW w:w="1843" w:type="dxa"/>
          </w:tcPr>
          <w:p w14:paraId="77584AE3" w14:textId="4F3E99EE" w:rsidR="00171E85" w:rsidRDefault="00171E85" w:rsidP="00CD754C">
            <w:pPr>
              <w:tabs>
                <w:tab w:val="left" w:pos="284"/>
              </w:tabs>
              <w:jc w:val="center"/>
              <w:rPr>
                <w:b/>
                <w:bCs/>
                <w:lang w:val="et-EE"/>
              </w:rPr>
            </w:pPr>
          </w:p>
          <w:p w14:paraId="16C43527" w14:textId="19C557A9" w:rsidR="00916C3C" w:rsidRPr="0007451E" w:rsidRDefault="00916C3C" w:rsidP="00CD754C">
            <w:pPr>
              <w:tabs>
                <w:tab w:val="left" w:pos="284"/>
              </w:tabs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3 768 496,2</w:t>
            </w:r>
          </w:p>
        </w:tc>
        <w:tc>
          <w:tcPr>
            <w:tcW w:w="1797" w:type="dxa"/>
          </w:tcPr>
          <w:p w14:paraId="0037C647" w14:textId="3A04E3EA" w:rsidR="008339CB" w:rsidRPr="0007451E" w:rsidRDefault="009D336C" w:rsidP="00916C3C">
            <w:pPr>
              <w:tabs>
                <w:tab w:val="left" w:pos="284"/>
              </w:tabs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112</w:t>
            </w:r>
            <w:r w:rsidR="00482095">
              <w:rPr>
                <w:b/>
                <w:bCs/>
                <w:lang w:val="et-EE"/>
              </w:rPr>
              <w:t> 531 816,7</w:t>
            </w:r>
          </w:p>
        </w:tc>
      </w:tr>
    </w:tbl>
    <w:p w14:paraId="62ABEC1A" w14:textId="77777777" w:rsidR="00021B71" w:rsidRDefault="00021B71" w:rsidP="00EA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5D347" w14:textId="5509C0A3" w:rsidR="004F0B2E" w:rsidRDefault="004F0B2E" w:rsidP="00EA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asendan käskkirja punktis </w:t>
      </w:r>
      <w:r w:rsidR="00350816">
        <w:rPr>
          <w:rFonts w:ascii="Times New Roman" w:hAnsi="Times New Roman" w:cs="Times New Roman"/>
          <w:sz w:val="24"/>
          <w:szCs w:val="24"/>
        </w:rPr>
        <w:t>15.2</w:t>
      </w:r>
      <w:r w:rsidR="00C53605">
        <w:rPr>
          <w:rFonts w:ascii="Times New Roman" w:hAnsi="Times New Roman" w:cs="Times New Roman"/>
          <w:sz w:val="24"/>
          <w:szCs w:val="24"/>
        </w:rPr>
        <w:t xml:space="preserve"> tekstiosa </w:t>
      </w:r>
      <w:r w:rsidR="001803CF" w:rsidRPr="00EE286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</w:t>
      </w:r>
      <w:r w:rsidR="001803CF" w:rsidRPr="00EE286D">
        <w:rPr>
          <w:rFonts w:ascii="Times New Roman" w:hAnsi="Times New Roman" w:cs="Times New Roman"/>
          <w:sz w:val="24"/>
          <w:szCs w:val="24"/>
        </w:rPr>
        <w:t>1407/2013, milles käsitletakse Euroopa Liidu toimimise lepingu artiklite 107 ja 108 kohaldamist vähese tähtsusega abi suhtes (ELT L 352, 24.12.2013, lk 1–8“ tekstiosaga „</w:t>
      </w:r>
      <w:r w:rsidR="001803CF" w:rsidRPr="00EE286D">
        <w:rPr>
          <w:rFonts w:ascii="Times New Roman" w:hAnsi="Times New Roman" w:cs="Times New Roman"/>
          <w:sz w:val="24"/>
          <w:szCs w:val="24"/>
          <w:shd w:val="clear" w:color="auto" w:fill="FFFFFF"/>
        </w:rPr>
        <w:t>2023/2831, milles käsitletakse Euroopa Liidu toimimise lepingu artiklite 107 ja 108 kohaldamist vähese tähtsusega abi suhtes (ELT L, 2023/2831,</w:t>
      </w:r>
      <w:r w:rsidR="001803CF" w:rsidRPr="00EE286D">
        <w:rPr>
          <w:rFonts w:ascii="Times New Roman" w:hAnsi="Times New Roman" w:cs="Times New Roman"/>
          <w:sz w:val="24"/>
          <w:szCs w:val="24"/>
        </w:rPr>
        <w:t xml:space="preserve"> </w:t>
      </w:r>
      <w:r w:rsidR="001803CF" w:rsidRPr="00EE286D">
        <w:rPr>
          <w:rFonts w:ascii="Times New Roman" w:hAnsi="Times New Roman" w:cs="Times New Roman"/>
          <w:sz w:val="24"/>
          <w:szCs w:val="24"/>
          <w:shd w:val="clear" w:color="auto" w:fill="FFFFFF"/>
        </w:rPr>
        <w:t>15.12.2023</w:t>
      </w:r>
      <w:r w:rsidR="002D4BF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803CF" w:rsidRPr="00EE286D">
        <w:rPr>
          <w:rFonts w:ascii="Times New Roman" w:hAnsi="Times New Roman" w:cs="Times New Roman"/>
          <w:sz w:val="24"/>
          <w:szCs w:val="24"/>
          <w:shd w:val="clear" w:color="auto" w:fill="FFFFFF"/>
        </w:rPr>
        <w:t>“;</w:t>
      </w:r>
    </w:p>
    <w:p w14:paraId="5F8005CE" w14:textId="77777777" w:rsidR="00350816" w:rsidRDefault="00350816" w:rsidP="00EA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DA66D" w14:textId="14EF6478" w:rsidR="00760F1B" w:rsidRDefault="004F0B2E" w:rsidP="00EA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20B6">
        <w:rPr>
          <w:rFonts w:ascii="Times New Roman" w:hAnsi="Times New Roman" w:cs="Times New Roman"/>
          <w:sz w:val="24"/>
          <w:szCs w:val="24"/>
        </w:rPr>
        <w:t>)</w:t>
      </w:r>
      <w:r w:rsidR="003A123A">
        <w:rPr>
          <w:rFonts w:ascii="Times New Roman" w:hAnsi="Times New Roman" w:cs="Times New Roman"/>
          <w:sz w:val="24"/>
          <w:szCs w:val="24"/>
        </w:rPr>
        <w:t xml:space="preserve"> </w:t>
      </w:r>
      <w:r w:rsidR="00760F1B">
        <w:rPr>
          <w:rFonts w:ascii="Times New Roman" w:hAnsi="Times New Roman" w:cs="Times New Roman"/>
          <w:sz w:val="24"/>
          <w:szCs w:val="24"/>
        </w:rPr>
        <w:t>asenda</w:t>
      </w:r>
      <w:r w:rsidR="00AF5BDB">
        <w:rPr>
          <w:rFonts w:ascii="Times New Roman" w:hAnsi="Times New Roman" w:cs="Times New Roman"/>
          <w:sz w:val="24"/>
          <w:szCs w:val="24"/>
        </w:rPr>
        <w:t>n</w:t>
      </w:r>
      <w:r w:rsidR="00760F1B">
        <w:rPr>
          <w:rFonts w:ascii="Times New Roman" w:hAnsi="Times New Roman" w:cs="Times New Roman"/>
          <w:sz w:val="24"/>
          <w:szCs w:val="24"/>
        </w:rPr>
        <w:t xml:space="preserve"> kä</w:t>
      </w:r>
      <w:r w:rsidR="00364113">
        <w:rPr>
          <w:rFonts w:ascii="Times New Roman" w:hAnsi="Times New Roman" w:cs="Times New Roman"/>
          <w:sz w:val="24"/>
          <w:szCs w:val="24"/>
        </w:rPr>
        <w:t xml:space="preserve">skkirja lisa „Partnerite nimekiri“ uue lisaga </w:t>
      </w:r>
      <w:r w:rsidR="00364113" w:rsidRPr="006524B4">
        <w:rPr>
          <w:rFonts w:ascii="Times New Roman" w:hAnsi="Times New Roman" w:cs="Times New Roman"/>
          <w:sz w:val="24"/>
          <w:szCs w:val="24"/>
        </w:rPr>
        <w:t>„</w:t>
      </w:r>
      <w:r w:rsidR="0023798B" w:rsidRPr="006524B4">
        <w:rPr>
          <w:rFonts w:ascii="Times New Roman" w:hAnsi="Times New Roman" w:cs="Times New Roman"/>
          <w:sz w:val="24"/>
          <w:szCs w:val="24"/>
        </w:rPr>
        <w:t>Projektid</w:t>
      </w:r>
      <w:r w:rsidR="004D25F1" w:rsidRPr="006524B4">
        <w:rPr>
          <w:rFonts w:ascii="Times New Roman" w:hAnsi="Times New Roman" w:cs="Times New Roman"/>
          <w:sz w:val="24"/>
          <w:szCs w:val="24"/>
        </w:rPr>
        <w:t>e nimekiri</w:t>
      </w:r>
      <w:r w:rsidR="00364113" w:rsidRPr="006524B4">
        <w:rPr>
          <w:rFonts w:ascii="Times New Roman" w:hAnsi="Times New Roman" w:cs="Times New Roman"/>
          <w:sz w:val="24"/>
          <w:szCs w:val="24"/>
        </w:rPr>
        <w:t>“</w:t>
      </w:r>
      <w:r w:rsidR="00081FFB">
        <w:rPr>
          <w:rFonts w:ascii="Times New Roman" w:hAnsi="Times New Roman" w:cs="Times New Roman"/>
          <w:sz w:val="24"/>
          <w:szCs w:val="24"/>
        </w:rPr>
        <w:t>;</w:t>
      </w:r>
    </w:p>
    <w:p w14:paraId="39BE84DB" w14:textId="77777777" w:rsidR="00760F1B" w:rsidRDefault="00760F1B" w:rsidP="00EA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34285" w14:textId="0FF19773" w:rsidR="007D2876" w:rsidRDefault="004F0B2E" w:rsidP="00EA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20B6">
        <w:rPr>
          <w:rFonts w:ascii="Times New Roman" w:hAnsi="Times New Roman" w:cs="Times New Roman"/>
          <w:sz w:val="24"/>
          <w:szCs w:val="24"/>
        </w:rPr>
        <w:t>)</w:t>
      </w:r>
      <w:r w:rsidR="00760F1B">
        <w:rPr>
          <w:rFonts w:ascii="Times New Roman" w:hAnsi="Times New Roman" w:cs="Times New Roman"/>
          <w:sz w:val="24"/>
          <w:szCs w:val="24"/>
        </w:rPr>
        <w:t xml:space="preserve"> </w:t>
      </w:r>
      <w:r w:rsidR="00851D3F" w:rsidRPr="00851D3F">
        <w:rPr>
          <w:rFonts w:ascii="Times New Roman" w:hAnsi="Times New Roman" w:cs="Times New Roman"/>
          <w:sz w:val="24"/>
          <w:szCs w:val="24"/>
        </w:rPr>
        <w:t>Käskkirja</w:t>
      </w:r>
      <w:r w:rsidR="00EF6A13">
        <w:rPr>
          <w:rFonts w:ascii="Times New Roman" w:hAnsi="Times New Roman" w:cs="Times New Roman"/>
          <w:sz w:val="24"/>
          <w:szCs w:val="24"/>
        </w:rPr>
        <w:t xml:space="preserve"> </w:t>
      </w:r>
      <w:r w:rsidR="003A123A">
        <w:rPr>
          <w:rFonts w:ascii="Times New Roman" w:hAnsi="Times New Roman" w:cs="Times New Roman"/>
          <w:sz w:val="24"/>
          <w:szCs w:val="24"/>
        </w:rPr>
        <w:t>muudatus</w:t>
      </w:r>
      <w:r w:rsidR="000E32E5">
        <w:rPr>
          <w:rFonts w:ascii="Times New Roman" w:hAnsi="Times New Roman" w:cs="Times New Roman"/>
          <w:sz w:val="24"/>
          <w:szCs w:val="24"/>
        </w:rPr>
        <w:t xml:space="preserve"> kehtestatakse</w:t>
      </w:r>
      <w:r w:rsidR="001C52A3">
        <w:rPr>
          <w:rFonts w:ascii="Times New Roman" w:hAnsi="Times New Roman" w:cs="Times New Roman"/>
          <w:sz w:val="24"/>
          <w:szCs w:val="24"/>
        </w:rPr>
        <w:t xml:space="preserve"> </w:t>
      </w:r>
      <w:r w:rsidR="004171E9">
        <w:rPr>
          <w:rFonts w:ascii="Times New Roman" w:hAnsi="Times New Roman" w:cs="Times New Roman"/>
          <w:sz w:val="24"/>
          <w:szCs w:val="24"/>
        </w:rPr>
        <w:t>alates 10.</w:t>
      </w:r>
      <w:r w:rsidR="00C50125">
        <w:rPr>
          <w:rFonts w:ascii="Times New Roman" w:hAnsi="Times New Roman" w:cs="Times New Roman"/>
          <w:sz w:val="24"/>
          <w:szCs w:val="24"/>
        </w:rPr>
        <w:t xml:space="preserve"> veebruarist </w:t>
      </w:r>
      <w:r w:rsidR="004171E9">
        <w:rPr>
          <w:rFonts w:ascii="Times New Roman" w:hAnsi="Times New Roman" w:cs="Times New Roman"/>
          <w:sz w:val="24"/>
          <w:szCs w:val="24"/>
        </w:rPr>
        <w:t>2023. a</w:t>
      </w:r>
      <w:r w:rsidR="001C52A3">
        <w:rPr>
          <w:rFonts w:ascii="Times New Roman" w:hAnsi="Times New Roman" w:cs="Times New Roman"/>
          <w:sz w:val="24"/>
          <w:szCs w:val="24"/>
        </w:rPr>
        <w:t>.</w:t>
      </w:r>
    </w:p>
    <w:p w14:paraId="7C6385F1" w14:textId="036EED13" w:rsidR="004A0DBD" w:rsidRDefault="004A0DBD" w:rsidP="00EA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4770D" w14:textId="2D98FFE5" w:rsidR="008236E6" w:rsidRDefault="00823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2CE17" w14:textId="77777777" w:rsidR="00530ABC" w:rsidRDefault="0053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E9138" w14:textId="77777777" w:rsidR="008236E6" w:rsidRPr="008236E6" w:rsidRDefault="008236E6" w:rsidP="0049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6E6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2B60C9B" w14:textId="328C2AEF" w:rsidR="008236E6" w:rsidRPr="008236E6" w:rsidRDefault="00194847" w:rsidP="0049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Erkki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Keldo</w:t>
      </w:r>
      <w:proofErr w:type="spellEnd"/>
    </w:p>
    <w:p w14:paraId="6800BE19" w14:textId="75997315" w:rsidR="00C50125" w:rsidRPr="00C50125" w:rsidRDefault="008236E6" w:rsidP="00C50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6E6">
        <w:rPr>
          <w:rFonts w:ascii="Times New Roman" w:hAnsi="Times New Roman" w:cs="Times New Roman"/>
          <w:sz w:val="24"/>
          <w:szCs w:val="24"/>
        </w:rPr>
        <w:t xml:space="preserve">majandus- </w:t>
      </w:r>
      <w:r w:rsidR="00C50125">
        <w:rPr>
          <w:rFonts w:ascii="Times New Roman" w:hAnsi="Times New Roman" w:cs="Times New Roman"/>
          <w:sz w:val="24"/>
          <w:szCs w:val="24"/>
        </w:rPr>
        <w:t>ja</w:t>
      </w:r>
      <w:r w:rsidR="00C50125" w:rsidRPr="00C50125">
        <w:rPr>
          <w:rFonts w:ascii="Times New Roman" w:hAnsi="Times New Roman" w:cs="Times New Roman"/>
          <w:sz w:val="24"/>
          <w:szCs w:val="24"/>
        </w:rPr>
        <w:t xml:space="preserve"> tööstusminister </w:t>
      </w:r>
    </w:p>
    <w:p w14:paraId="0B4694FF" w14:textId="7F89BB9D" w:rsidR="008A2D58" w:rsidRDefault="008A2D58" w:rsidP="0049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8ACE0" w14:textId="654F25C5" w:rsidR="00AE5BE3" w:rsidRPr="00EB0DFA" w:rsidRDefault="00AE5BE3" w:rsidP="002F105E">
      <w:pPr>
        <w:rPr>
          <w:rFonts w:ascii="Times New Roman" w:hAnsi="Times New Roman" w:cs="Times New Roman"/>
          <w:sz w:val="24"/>
          <w:szCs w:val="24"/>
        </w:rPr>
      </w:pPr>
    </w:p>
    <w:sectPr w:rsidR="00AE5BE3" w:rsidRPr="00EB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Century Gothic"/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D0971"/>
    <w:multiLevelType w:val="hybridMultilevel"/>
    <w:tmpl w:val="ADE6F2A2"/>
    <w:lvl w:ilvl="0" w:tplc="BFE2B132">
      <w:start w:val="1"/>
      <w:numFmt w:val="decimal"/>
      <w:lvlText w:val="%1."/>
      <w:lvlJc w:val="left"/>
      <w:pPr>
        <w:ind w:left="1020" w:hanging="360"/>
      </w:pPr>
    </w:lvl>
    <w:lvl w:ilvl="1" w:tplc="7878F91A">
      <w:start w:val="1"/>
      <w:numFmt w:val="decimal"/>
      <w:lvlText w:val="%2."/>
      <w:lvlJc w:val="left"/>
      <w:pPr>
        <w:ind w:left="1020" w:hanging="360"/>
      </w:pPr>
    </w:lvl>
    <w:lvl w:ilvl="2" w:tplc="11CC37A0">
      <w:start w:val="1"/>
      <w:numFmt w:val="decimal"/>
      <w:lvlText w:val="%3."/>
      <w:lvlJc w:val="left"/>
      <w:pPr>
        <w:ind w:left="1020" w:hanging="360"/>
      </w:pPr>
    </w:lvl>
    <w:lvl w:ilvl="3" w:tplc="4836D77E">
      <w:start w:val="1"/>
      <w:numFmt w:val="decimal"/>
      <w:lvlText w:val="%4."/>
      <w:lvlJc w:val="left"/>
      <w:pPr>
        <w:ind w:left="1020" w:hanging="360"/>
      </w:pPr>
    </w:lvl>
    <w:lvl w:ilvl="4" w:tplc="AD4A61A4">
      <w:start w:val="1"/>
      <w:numFmt w:val="decimal"/>
      <w:lvlText w:val="%5."/>
      <w:lvlJc w:val="left"/>
      <w:pPr>
        <w:ind w:left="1020" w:hanging="360"/>
      </w:pPr>
    </w:lvl>
    <w:lvl w:ilvl="5" w:tplc="5554DEF8">
      <w:start w:val="1"/>
      <w:numFmt w:val="decimal"/>
      <w:lvlText w:val="%6."/>
      <w:lvlJc w:val="left"/>
      <w:pPr>
        <w:ind w:left="1020" w:hanging="360"/>
      </w:pPr>
    </w:lvl>
    <w:lvl w:ilvl="6" w:tplc="556C909A">
      <w:start w:val="1"/>
      <w:numFmt w:val="decimal"/>
      <w:lvlText w:val="%7."/>
      <w:lvlJc w:val="left"/>
      <w:pPr>
        <w:ind w:left="1020" w:hanging="360"/>
      </w:pPr>
    </w:lvl>
    <w:lvl w:ilvl="7" w:tplc="0D04BF68">
      <w:start w:val="1"/>
      <w:numFmt w:val="decimal"/>
      <w:lvlText w:val="%8."/>
      <w:lvlJc w:val="left"/>
      <w:pPr>
        <w:ind w:left="1020" w:hanging="360"/>
      </w:pPr>
    </w:lvl>
    <w:lvl w:ilvl="8" w:tplc="8F4CD7F2">
      <w:start w:val="1"/>
      <w:numFmt w:val="decimal"/>
      <w:lvlText w:val="%9."/>
      <w:lvlJc w:val="left"/>
      <w:pPr>
        <w:ind w:left="1020" w:hanging="360"/>
      </w:pPr>
    </w:lvl>
  </w:abstractNum>
  <w:num w:numId="1" w16cid:durableId="6309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88"/>
    <w:rsid w:val="00005E5D"/>
    <w:rsid w:val="00012A19"/>
    <w:rsid w:val="0001437F"/>
    <w:rsid w:val="000157D5"/>
    <w:rsid w:val="00016F4E"/>
    <w:rsid w:val="00021B71"/>
    <w:rsid w:val="00025CE6"/>
    <w:rsid w:val="00042B12"/>
    <w:rsid w:val="00053CE8"/>
    <w:rsid w:val="000566CB"/>
    <w:rsid w:val="0007315C"/>
    <w:rsid w:val="00074184"/>
    <w:rsid w:val="0007451E"/>
    <w:rsid w:val="00077C6D"/>
    <w:rsid w:val="00081FFB"/>
    <w:rsid w:val="00093CE0"/>
    <w:rsid w:val="000A0C7F"/>
    <w:rsid w:val="000A6532"/>
    <w:rsid w:val="000B57C1"/>
    <w:rsid w:val="000C0E8D"/>
    <w:rsid w:val="000C2D32"/>
    <w:rsid w:val="000E32E5"/>
    <w:rsid w:val="000E3F0A"/>
    <w:rsid w:val="000E7A64"/>
    <w:rsid w:val="000F48A6"/>
    <w:rsid w:val="000F5FED"/>
    <w:rsid w:val="00105009"/>
    <w:rsid w:val="00105F0A"/>
    <w:rsid w:val="00106EBA"/>
    <w:rsid w:val="00110627"/>
    <w:rsid w:val="00120B8D"/>
    <w:rsid w:val="0012438D"/>
    <w:rsid w:val="00125DA3"/>
    <w:rsid w:val="00143B13"/>
    <w:rsid w:val="00145EC5"/>
    <w:rsid w:val="00152CC1"/>
    <w:rsid w:val="00162640"/>
    <w:rsid w:val="001665DD"/>
    <w:rsid w:val="0017051A"/>
    <w:rsid w:val="00171E85"/>
    <w:rsid w:val="001803CF"/>
    <w:rsid w:val="001941D8"/>
    <w:rsid w:val="00194847"/>
    <w:rsid w:val="001A1E8C"/>
    <w:rsid w:val="001B1403"/>
    <w:rsid w:val="001C35BD"/>
    <w:rsid w:val="001C52A3"/>
    <w:rsid w:val="001C559C"/>
    <w:rsid w:val="001C789D"/>
    <w:rsid w:val="001D4785"/>
    <w:rsid w:val="001E0F56"/>
    <w:rsid w:val="001E198E"/>
    <w:rsid w:val="001E55CE"/>
    <w:rsid w:val="001E5A0D"/>
    <w:rsid w:val="001F1D7C"/>
    <w:rsid w:val="002018A4"/>
    <w:rsid w:val="00205169"/>
    <w:rsid w:val="00212C96"/>
    <w:rsid w:val="00217679"/>
    <w:rsid w:val="0022407C"/>
    <w:rsid w:val="00230B5C"/>
    <w:rsid w:val="0023113F"/>
    <w:rsid w:val="002331ED"/>
    <w:rsid w:val="0023798B"/>
    <w:rsid w:val="002434EE"/>
    <w:rsid w:val="00243806"/>
    <w:rsid w:val="00261B94"/>
    <w:rsid w:val="002633C2"/>
    <w:rsid w:val="002667CB"/>
    <w:rsid w:val="00277EA0"/>
    <w:rsid w:val="00281F74"/>
    <w:rsid w:val="00285AAC"/>
    <w:rsid w:val="00287B11"/>
    <w:rsid w:val="002914CA"/>
    <w:rsid w:val="002929E3"/>
    <w:rsid w:val="00295C9C"/>
    <w:rsid w:val="002B2240"/>
    <w:rsid w:val="002B45C5"/>
    <w:rsid w:val="002C61AC"/>
    <w:rsid w:val="002D161B"/>
    <w:rsid w:val="002D4BFB"/>
    <w:rsid w:val="002E34C3"/>
    <w:rsid w:val="002E58BB"/>
    <w:rsid w:val="002E7C0F"/>
    <w:rsid w:val="002F0FCA"/>
    <w:rsid w:val="002F105E"/>
    <w:rsid w:val="002F3DE1"/>
    <w:rsid w:val="002F4A83"/>
    <w:rsid w:val="002F53AE"/>
    <w:rsid w:val="0031164F"/>
    <w:rsid w:val="003278DB"/>
    <w:rsid w:val="003318E3"/>
    <w:rsid w:val="00350816"/>
    <w:rsid w:val="00364113"/>
    <w:rsid w:val="00364678"/>
    <w:rsid w:val="003720D1"/>
    <w:rsid w:val="0037648B"/>
    <w:rsid w:val="00376D88"/>
    <w:rsid w:val="003976A6"/>
    <w:rsid w:val="003A0833"/>
    <w:rsid w:val="003A123A"/>
    <w:rsid w:val="003B79FA"/>
    <w:rsid w:val="003C3F58"/>
    <w:rsid w:val="003F1AB5"/>
    <w:rsid w:val="003F1C51"/>
    <w:rsid w:val="003F5618"/>
    <w:rsid w:val="00402B50"/>
    <w:rsid w:val="00405818"/>
    <w:rsid w:val="0041031D"/>
    <w:rsid w:val="00411CDE"/>
    <w:rsid w:val="004168F8"/>
    <w:rsid w:val="004171E9"/>
    <w:rsid w:val="0043187B"/>
    <w:rsid w:val="00435A44"/>
    <w:rsid w:val="00436BE4"/>
    <w:rsid w:val="00452603"/>
    <w:rsid w:val="004673A8"/>
    <w:rsid w:val="00482095"/>
    <w:rsid w:val="00490D43"/>
    <w:rsid w:val="00491753"/>
    <w:rsid w:val="00491C1C"/>
    <w:rsid w:val="004920B6"/>
    <w:rsid w:val="00492BED"/>
    <w:rsid w:val="004948F9"/>
    <w:rsid w:val="004A0DBD"/>
    <w:rsid w:val="004A144E"/>
    <w:rsid w:val="004A53F5"/>
    <w:rsid w:val="004B6C73"/>
    <w:rsid w:val="004C6380"/>
    <w:rsid w:val="004D050B"/>
    <w:rsid w:val="004D0B00"/>
    <w:rsid w:val="004D25F1"/>
    <w:rsid w:val="004D4323"/>
    <w:rsid w:val="004E0B7F"/>
    <w:rsid w:val="004E481F"/>
    <w:rsid w:val="004E589C"/>
    <w:rsid w:val="004E5EAF"/>
    <w:rsid w:val="004F0B2E"/>
    <w:rsid w:val="004F0D23"/>
    <w:rsid w:val="00500D56"/>
    <w:rsid w:val="00500E17"/>
    <w:rsid w:val="005027CE"/>
    <w:rsid w:val="00507214"/>
    <w:rsid w:val="00514D1D"/>
    <w:rsid w:val="00520AFF"/>
    <w:rsid w:val="0052235C"/>
    <w:rsid w:val="00530ABC"/>
    <w:rsid w:val="00534BA7"/>
    <w:rsid w:val="00534D08"/>
    <w:rsid w:val="0055126E"/>
    <w:rsid w:val="0056183B"/>
    <w:rsid w:val="00562979"/>
    <w:rsid w:val="00565D89"/>
    <w:rsid w:val="00571C3B"/>
    <w:rsid w:val="00581DDF"/>
    <w:rsid w:val="00582DE3"/>
    <w:rsid w:val="00585F9D"/>
    <w:rsid w:val="00593764"/>
    <w:rsid w:val="0059585D"/>
    <w:rsid w:val="00596B0B"/>
    <w:rsid w:val="005A2D74"/>
    <w:rsid w:val="005B0564"/>
    <w:rsid w:val="005C27F5"/>
    <w:rsid w:val="005D608F"/>
    <w:rsid w:val="005F6155"/>
    <w:rsid w:val="005F73F6"/>
    <w:rsid w:val="0061101E"/>
    <w:rsid w:val="0061668B"/>
    <w:rsid w:val="00622DD6"/>
    <w:rsid w:val="00627C0B"/>
    <w:rsid w:val="00633B4B"/>
    <w:rsid w:val="00636D19"/>
    <w:rsid w:val="00637BBE"/>
    <w:rsid w:val="006524B4"/>
    <w:rsid w:val="00660900"/>
    <w:rsid w:val="006611D4"/>
    <w:rsid w:val="00667DDF"/>
    <w:rsid w:val="006751E3"/>
    <w:rsid w:val="0068357E"/>
    <w:rsid w:val="00687524"/>
    <w:rsid w:val="006A0738"/>
    <w:rsid w:val="006A4FDA"/>
    <w:rsid w:val="006B0668"/>
    <w:rsid w:val="006B403B"/>
    <w:rsid w:val="006C2F8B"/>
    <w:rsid w:val="006C3932"/>
    <w:rsid w:val="006C60FA"/>
    <w:rsid w:val="006C69CB"/>
    <w:rsid w:val="006D3B56"/>
    <w:rsid w:val="006D5B70"/>
    <w:rsid w:val="006E3067"/>
    <w:rsid w:val="006E4167"/>
    <w:rsid w:val="006F3785"/>
    <w:rsid w:val="006F6F21"/>
    <w:rsid w:val="00717586"/>
    <w:rsid w:val="0072514C"/>
    <w:rsid w:val="00732210"/>
    <w:rsid w:val="00741091"/>
    <w:rsid w:val="00743321"/>
    <w:rsid w:val="00746E5B"/>
    <w:rsid w:val="0075145E"/>
    <w:rsid w:val="0075202E"/>
    <w:rsid w:val="00760F1B"/>
    <w:rsid w:val="007718AA"/>
    <w:rsid w:val="00772A09"/>
    <w:rsid w:val="0078165F"/>
    <w:rsid w:val="007858CC"/>
    <w:rsid w:val="00786A64"/>
    <w:rsid w:val="00790AF5"/>
    <w:rsid w:val="00792BDD"/>
    <w:rsid w:val="00793B9B"/>
    <w:rsid w:val="007B14D5"/>
    <w:rsid w:val="007B2522"/>
    <w:rsid w:val="007B3748"/>
    <w:rsid w:val="007D2876"/>
    <w:rsid w:val="007F1052"/>
    <w:rsid w:val="007F2257"/>
    <w:rsid w:val="00800F6D"/>
    <w:rsid w:val="00806D98"/>
    <w:rsid w:val="008236E6"/>
    <w:rsid w:val="00826257"/>
    <w:rsid w:val="00831DB9"/>
    <w:rsid w:val="00832AEF"/>
    <w:rsid w:val="008339CB"/>
    <w:rsid w:val="00845531"/>
    <w:rsid w:val="008461BE"/>
    <w:rsid w:val="00851057"/>
    <w:rsid w:val="00851D3F"/>
    <w:rsid w:val="00852434"/>
    <w:rsid w:val="008858E9"/>
    <w:rsid w:val="0089108F"/>
    <w:rsid w:val="00892DBC"/>
    <w:rsid w:val="00892DEB"/>
    <w:rsid w:val="008A2D58"/>
    <w:rsid w:val="008A5613"/>
    <w:rsid w:val="008B0851"/>
    <w:rsid w:val="008B4621"/>
    <w:rsid w:val="008C4047"/>
    <w:rsid w:val="008C76E7"/>
    <w:rsid w:val="008E1886"/>
    <w:rsid w:val="008E2144"/>
    <w:rsid w:val="008F5974"/>
    <w:rsid w:val="009013E0"/>
    <w:rsid w:val="00906E30"/>
    <w:rsid w:val="00916C3C"/>
    <w:rsid w:val="009232F1"/>
    <w:rsid w:val="00924A62"/>
    <w:rsid w:val="00924ED3"/>
    <w:rsid w:val="0092702D"/>
    <w:rsid w:val="00936A0C"/>
    <w:rsid w:val="009473C6"/>
    <w:rsid w:val="00951D6E"/>
    <w:rsid w:val="00954305"/>
    <w:rsid w:val="00975446"/>
    <w:rsid w:val="009837AF"/>
    <w:rsid w:val="00993ABB"/>
    <w:rsid w:val="00993C25"/>
    <w:rsid w:val="009A518C"/>
    <w:rsid w:val="009A65AB"/>
    <w:rsid w:val="009A7CDC"/>
    <w:rsid w:val="009B0E88"/>
    <w:rsid w:val="009B65A0"/>
    <w:rsid w:val="009C1012"/>
    <w:rsid w:val="009D17C0"/>
    <w:rsid w:val="009D336C"/>
    <w:rsid w:val="009F32CC"/>
    <w:rsid w:val="00A00AA2"/>
    <w:rsid w:val="00A05EB7"/>
    <w:rsid w:val="00A1218E"/>
    <w:rsid w:val="00A12738"/>
    <w:rsid w:val="00A4796F"/>
    <w:rsid w:val="00A569F8"/>
    <w:rsid w:val="00A70EB3"/>
    <w:rsid w:val="00A719CF"/>
    <w:rsid w:val="00A82CAE"/>
    <w:rsid w:val="00A8701F"/>
    <w:rsid w:val="00A90481"/>
    <w:rsid w:val="00AA0355"/>
    <w:rsid w:val="00AA3AAA"/>
    <w:rsid w:val="00AA7D08"/>
    <w:rsid w:val="00AB1E3F"/>
    <w:rsid w:val="00AB2BC8"/>
    <w:rsid w:val="00AB344A"/>
    <w:rsid w:val="00AB6B2D"/>
    <w:rsid w:val="00AC3C55"/>
    <w:rsid w:val="00AC4CD8"/>
    <w:rsid w:val="00AC63A3"/>
    <w:rsid w:val="00AD4D8D"/>
    <w:rsid w:val="00AD5D5C"/>
    <w:rsid w:val="00AE4781"/>
    <w:rsid w:val="00AE5ACB"/>
    <w:rsid w:val="00AE5BE3"/>
    <w:rsid w:val="00AE7E76"/>
    <w:rsid w:val="00AF5BDB"/>
    <w:rsid w:val="00B01481"/>
    <w:rsid w:val="00B03830"/>
    <w:rsid w:val="00B131EF"/>
    <w:rsid w:val="00B348B7"/>
    <w:rsid w:val="00B350C7"/>
    <w:rsid w:val="00B36854"/>
    <w:rsid w:val="00B40F46"/>
    <w:rsid w:val="00B50691"/>
    <w:rsid w:val="00B51236"/>
    <w:rsid w:val="00B539E7"/>
    <w:rsid w:val="00B73770"/>
    <w:rsid w:val="00B743A0"/>
    <w:rsid w:val="00B87FEA"/>
    <w:rsid w:val="00B967ED"/>
    <w:rsid w:val="00BB06C2"/>
    <w:rsid w:val="00BB3432"/>
    <w:rsid w:val="00BB40C4"/>
    <w:rsid w:val="00BB61F5"/>
    <w:rsid w:val="00BB68F4"/>
    <w:rsid w:val="00BF1E6D"/>
    <w:rsid w:val="00BF2033"/>
    <w:rsid w:val="00C00250"/>
    <w:rsid w:val="00C06091"/>
    <w:rsid w:val="00C16C2C"/>
    <w:rsid w:val="00C4059D"/>
    <w:rsid w:val="00C45D40"/>
    <w:rsid w:val="00C46724"/>
    <w:rsid w:val="00C50125"/>
    <w:rsid w:val="00C53605"/>
    <w:rsid w:val="00C57624"/>
    <w:rsid w:val="00C73593"/>
    <w:rsid w:val="00C75FE5"/>
    <w:rsid w:val="00C84A45"/>
    <w:rsid w:val="00CB5F97"/>
    <w:rsid w:val="00CC3A81"/>
    <w:rsid w:val="00CD517D"/>
    <w:rsid w:val="00CD754C"/>
    <w:rsid w:val="00CE6294"/>
    <w:rsid w:val="00CF0848"/>
    <w:rsid w:val="00CF3C59"/>
    <w:rsid w:val="00CF523F"/>
    <w:rsid w:val="00D0316E"/>
    <w:rsid w:val="00D048A1"/>
    <w:rsid w:val="00D04F5F"/>
    <w:rsid w:val="00D07116"/>
    <w:rsid w:val="00D2004B"/>
    <w:rsid w:val="00D443D0"/>
    <w:rsid w:val="00D6497B"/>
    <w:rsid w:val="00D85FA7"/>
    <w:rsid w:val="00D931A6"/>
    <w:rsid w:val="00DA760A"/>
    <w:rsid w:val="00DB591E"/>
    <w:rsid w:val="00DB5EBB"/>
    <w:rsid w:val="00DE7516"/>
    <w:rsid w:val="00DF3BF5"/>
    <w:rsid w:val="00DF4795"/>
    <w:rsid w:val="00DF5A3D"/>
    <w:rsid w:val="00E113BE"/>
    <w:rsid w:val="00E134F9"/>
    <w:rsid w:val="00E17FA1"/>
    <w:rsid w:val="00E21223"/>
    <w:rsid w:val="00E238FA"/>
    <w:rsid w:val="00E3404B"/>
    <w:rsid w:val="00E4037F"/>
    <w:rsid w:val="00E5213E"/>
    <w:rsid w:val="00E5601D"/>
    <w:rsid w:val="00E5650E"/>
    <w:rsid w:val="00E57BA6"/>
    <w:rsid w:val="00E649E9"/>
    <w:rsid w:val="00E664ED"/>
    <w:rsid w:val="00E71C19"/>
    <w:rsid w:val="00E85A02"/>
    <w:rsid w:val="00EA2F87"/>
    <w:rsid w:val="00EA5A74"/>
    <w:rsid w:val="00EA71CE"/>
    <w:rsid w:val="00EB0DFA"/>
    <w:rsid w:val="00EB3946"/>
    <w:rsid w:val="00EB5889"/>
    <w:rsid w:val="00EC31BB"/>
    <w:rsid w:val="00ED1254"/>
    <w:rsid w:val="00ED26F6"/>
    <w:rsid w:val="00ED6562"/>
    <w:rsid w:val="00EE30B1"/>
    <w:rsid w:val="00EF6A13"/>
    <w:rsid w:val="00F20710"/>
    <w:rsid w:val="00F20A66"/>
    <w:rsid w:val="00F252E8"/>
    <w:rsid w:val="00F312EC"/>
    <w:rsid w:val="00F40210"/>
    <w:rsid w:val="00F42AFA"/>
    <w:rsid w:val="00F45BD4"/>
    <w:rsid w:val="00F46202"/>
    <w:rsid w:val="00F51802"/>
    <w:rsid w:val="00F52D5E"/>
    <w:rsid w:val="00F55C88"/>
    <w:rsid w:val="00F70E0E"/>
    <w:rsid w:val="00F8430E"/>
    <w:rsid w:val="00F877FB"/>
    <w:rsid w:val="00F909EF"/>
    <w:rsid w:val="00F95776"/>
    <w:rsid w:val="00FB224A"/>
    <w:rsid w:val="00FB244A"/>
    <w:rsid w:val="00FB3166"/>
    <w:rsid w:val="00FB326E"/>
    <w:rsid w:val="00FC1425"/>
    <w:rsid w:val="00FC34E8"/>
    <w:rsid w:val="00FD0C2A"/>
    <w:rsid w:val="00FE07F3"/>
    <w:rsid w:val="00FE3FBA"/>
    <w:rsid w:val="00FE6255"/>
    <w:rsid w:val="00FE6E4D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2CE7"/>
  <w15:chartTrackingRefBased/>
  <w15:docId w15:val="{1E9FC09B-15A5-4DB5-853F-794DAD07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B0E88"/>
  </w:style>
  <w:style w:type="paragraph" w:styleId="Pealkiri1">
    <w:name w:val="heading 1"/>
    <w:basedOn w:val="Normaallaad"/>
    <w:next w:val="Normaallaad"/>
    <w:link w:val="Pealkiri1Mrk"/>
    <w:uiPriority w:val="9"/>
    <w:qFormat/>
    <w:rsid w:val="00F55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55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55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55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55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55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55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55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55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55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55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55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55C8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55C8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55C8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55C8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55C8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55C8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55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55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55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55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55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55C8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55C8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55C8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55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55C8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55C88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EB0DFA"/>
    <w:rPr>
      <w:color w:val="467886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B0DFA"/>
    <w:rPr>
      <w:color w:val="96607D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EB0DF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B0DF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B0DF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B0DF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B0DFA"/>
    <w:rPr>
      <w:b/>
      <w:bCs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EB0DFA"/>
    <w:rPr>
      <w:color w:val="605E5C"/>
      <w:shd w:val="clear" w:color="auto" w:fill="E1DFDD"/>
    </w:rPr>
  </w:style>
  <w:style w:type="character" w:customStyle="1" w:styleId="cf01">
    <w:name w:val="cf01"/>
    <w:basedOn w:val="Liguvaikefont"/>
    <w:rsid w:val="008B4621"/>
    <w:rPr>
      <w:rFonts w:ascii="Segoe UI" w:hAnsi="Segoe UI" w:cs="Segoe UI" w:hint="default"/>
      <w:sz w:val="18"/>
      <w:szCs w:val="18"/>
    </w:rPr>
  </w:style>
  <w:style w:type="paragraph" w:styleId="Redaktsioon">
    <w:name w:val="Revision"/>
    <w:hidden/>
    <w:uiPriority w:val="99"/>
    <w:semiHidden/>
    <w:rsid w:val="004A53F5"/>
    <w:pPr>
      <w:spacing w:after="0" w:line="240" w:lineRule="auto"/>
    </w:pPr>
  </w:style>
  <w:style w:type="table" w:styleId="Kontuurtabel">
    <w:name w:val="Table Grid"/>
    <w:basedOn w:val="Normaaltabel"/>
    <w:uiPriority w:val="39"/>
    <w:rsid w:val="007B37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D61E0DFB3AD43A308A7CF362AC22D" ma:contentTypeVersion="15" ma:contentTypeDescription="Create a new document." ma:contentTypeScope="" ma:versionID="b5af0c502dfe6d5c58b3995d35e88113">
  <xsd:schema xmlns:xsd="http://www.w3.org/2001/XMLSchema" xmlns:xs="http://www.w3.org/2001/XMLSchema" xmlns:p="http://schemas.microsoft.com/office/2006/metadata/properties" xmlns:ns2="d3f678f6-95c4-4a11-872c-c609bad08bba" xmlns:ns3="9b483750-598d-46a0-877d-052f8f804d23" targetNamespace="http://schemas.microsoft.com/office/2006/metadata/properties" ma:root="true" ma:fieldsID="d474d2ea18838e84eb3f454de501841d" ns2:_="" ns3:_="">
    <xsd:import namespace="d3f678f6-95c4-4a11-872c-c609bad08bba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Olulis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678f6-95c4-4a11-872c-c609bad0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Olulisus" ma:index="21" nillable="true" ma:displayName="Olulisus" ma:format="Dropdown" ma:internalName="Olulisus">
      <xsd:simpleType>
        <xsd:restriction base="dms:Text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9c575f-852c-4050-8566-fe4bdfea018e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83750-598d-46a0-877d-052f8f804d23" xsi:nil="true"/>
    <lcf76f155ced4ddcb4097134ff3c332f xmlns="d3f678f6-95c4-4a11-872c-c609bad08bba">
      <Terms xmlns="http://schemas.microsoft.com/office/infopath/2007/PartnerControls"/>
    </lcf76f155ced4ddcb4097134ff3c332f>
    <Olulisus xmlns="d3f678f6-95c4-4a11-872c-c609bad08b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3C80D-385B-44D9-ADCB-9CBC9D272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ED24E-2B78-4EE4-9909-5CBC92991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678f6-95c4-4a11-872c-c609bad08bba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04ADC-CD92-4ADE-BB52-7BA2E84D803E}">
  <ds:schemaRefs>
    <ds:schemaRef ds:uri="http://schemas.microsoft.com/office/2006/metadata/properties"/>
    <ds:schemaRef ds:uri="http://schemas.microsoft.com/office/infopath/2007/PartnerControls"/>
    <ds:schemaRef ds:uri="9b483750-598d-46a0-877d-052f8f804d23"/>
    <ds:schemaRef ds:uri="d3f678f6-95c4-4a11-872c-c609bad08bba"/>
  </ds:schemaRefs>
</ds:datastoreItem>
</file>

<file path=customXml/itemProps4.xml><?xml version="1.0" encoding="utf-8"?>
<ds:datastoreItem xmlns:ds="http://schemas.openxmlformats.org/officeDocument/2006/customXml" ds:itemID="{7DFFC7F9-DF86-4BB0-8EB3-75C9A424E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Cyrsten Rohumaa</dc:creator>
  <cp:keywords/>
  <dc:description/>
  <cp:lastModifiedBy>Cyrsten Rohumaa - MKM</cp:lastModifiedBy>
  <cp:revision>3</cp:revision>
  <cp:lastPrinted>2024-05-06T16:55:00Z</cp:lastPrinted>
  <dcterms:created xsi:type="dcterms:W3CDTF">2025-05-16T13:41:00Z</dcterms:created>
  <dcterms:modified xsi:type="dcterms:W3CDTF">2025-05-16T13:43:00Z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2024-06-17T09:44:03Z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0dffc148-c3eb-4de1-80f3-f7c472047ab5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0x010100F35D61E0DFB3AD43A308A7CF362AC22D</vt:lpwstr>
  </property>
  <property fmtid="{D5CDD505-2E9C-101B-9397-08002B2CF9AE}" pid="10" name="MediaServiceImageTags">
    <vt:lpwstr/>
  </property>
</Properties>
</file>